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59D40" w14:textId="77777777" w:rsidR="00B959A0" w:rsidRPr="00317A03" w:rsidRDefault="00B959A0" w:rsidP="00317A03">
      <w:pPr>
        <w:pStyle w:val="Default"/>
        <w:spacing w:before="100" w:beforeAutospacing="1" w:after="100" w:afterAutospacing="1" w:line="23" w:lineRule="atLeast"/>
        <w:rPr>
          <w:rFonts w:ascii="Arial" w:hAnsi="Arial" w:cs="Arial"/>
          <w:color w:val="auto"/>
          <w:sz w:val="20"/>
          <w:szCs w:val="20"/>
        </w:rPr>
      </w:pPr>
    </w:p>
    <w:tbl>
      <w:tblPr>
        <w:tblStyle w:val="Saretaduntaula"/>
        <w:tblW w:w="0" w:type="auto"/>
        <w:tblLook w:val="04A0" w:firstRow="1" w:lastRow="0" w:firstColumn="1" w:lastColumn="0" w:noHBand="0" w:noVBand="1"/>
      </w:tblPr>
      <w:tblGrid>
        <w:gridCol w:w="8494"/>
      </w:tblGrid>
      <w:tr w:rsidR="006654B7" w:rsidRPr="00317A03" w14:paraId="4C059D45" w14:textId="77777777" w:rsidTr="000D68BA">
        <w:tc>
          <w:tcPr>
            <w:tcW w:w="8644" w:type="dxa"/>
            <w:shd w:val="clear" w:color="auto" w:fill="DAEEF3" w:themeFill="accent5" w:themeFillTint="33"/>
          </w:tcPr>
          <w:p w14:paraId="4C059D41" w14:textId="77777777" w:rsidR="006654B7" w:rsidRPr="00317A03" w:rsidRDefault="006654B7" w:rsidP="00317A03">
            <w:pPr>
              <w:pStyle w:val="Default"/>
              <w:spacing w:before="100" w:beforeAutospacing="1" w:after="100" w:afterAutospacing="1" w:line="23" w:lineRule="atLeast"/>
              <w:jc w:val="center"/>
              <w:rPr>
                <w:rFonts w:ascii="Arial" w:hAnsi="Arial" w:cs="Arial"/>
                <w:b/>
                <w:color w:val="auto"/>
                <w:sz w:val="20"/>
                <w:szCs w:val="20"/>
              </w:rPr>
            </w:pPr>
          </w:p>
          <w:p w14:paraId="4C059D43" w14:textId="2666D866" w:rsidR="006654B7" w:rsidRPr="00317A03" w:rsidRDefault="00D155F8" w:rsidP="00317A03">
            <w:pPr>
              <w:spacing w:before="100" w:beforeAutospacing="1" w:after="100" w:afterAutospacing="1" w:line="23" w:lineRule="atLeast"/>
              <w:jc w:val="center"/>
              <w:rPr>
                <w:rFonts w:ascii="Arial" w:hAnsi="Arial" w:cs="Arial"/>
                <w:b/>
              </w:rPr>
            </w:pPr>
            <w:r w:rsidRPr="00317A03">
              <w:rPr>
                <w:rFonts w:ascii="Arial" w:hAnsi="Arial" w:cs="Arial"/>
                <w:b/>
              </w:rPr>
              <w:t>GARAPENERAKO LANKIDETZA</w:t>
            </w:r>
            <w:r w:rsidR="006204C5">
              <w:rPr>
                <w:rFonts w:ascii="Arial" w:hAnsi="Arial" w:cs="Arial"/>
                <w:b/>
              </w:rPr>
              <w:t xml:space="preserve">- </w:t>
            </w:r>
            <w:r w:rsidRPr="00317A03">
              <w:rPr>
                <w:rFonts w:ascii="Arial" w:hAnsi="Arial" w:cs="Arial"/>
                <w:b/>
              </w:rPr>
              <w:t>PROGRAMETARAKO LAGUNTZAK ARAUTZEN DITUEN DEKRETUAREN PROIEKTUA EGIN AURREKO KONTSULTA PUBLIKOA.</w:t>
            </w:r>
          </w:p>
          <w:p w14:paraId="4C059D44" w14:textId="77777777" w:rsidR="006654B7" w:rsidRPr="00317A03" w:rsidRDefault="006654B7" w:rsidP="00317A03">
            <w:pPr>
              <w:pStyle w:val="Default"/>
              <w:spacing w:before="100" w:beforeAutospacing="1" w:after="100" w:afterAutospacing="1" w:line="23" w:lineRule="atLeast"/>
              <w:rPr>
                <w:rFonts w:ascii="Arial" w:hAnsi="Arial" w:cs="Arial"/>
                <w:color w:val="auto"/>
                <w:sz w:val="20"/>
                <w:szCs w:val="20"/>
              </w:rPr>
            </w:pPr>
          </w:p>
        </w:tc>
      </w:tr>
    </w:tbl>
    <w:p w14:paraId="4C059D48" w14:textId="588A6E09" w:rsidR="006779F4" w:rsidRPr="00317A03" w:rsidRDefault="00F109C3" w:rsidP="00317A03">
      <w:pPr>
        <w:pStyle w:val="Default"/>
        <w:spacing w:before="100" w:beforeAutospacing="1" w:after="100" w:afterAutospacing="1" w:line="23" w:lineRule="atLeast"/>
        <w:jc w:val="both"/>
        <w:rPr>
          <w:rFonts w:ascii="Arial" w:eastAsia="Times New Roman" w:hAnsi="Arial" w:cs="Arial"/>
          <w:color w:val="auto"/>
          <w:sz w:val="20"/>
          <w:szCs w:val="20"/>
        </w:rPr>
      </w:pPr>
      <w:r w:rsidRPr="00317A03">
        <w:rPr>
          <w:rFonts w:ascii="Arial" w:hAnsi="Arial" w:cs="Arial"/>
          <w:color w:val="auto"/>
          <w:sz w:val="20"/>
          <w:szCs w:val="20"/>
        </w:rPr>
        <w:t>Administrazio Publikoen Administrazio Prozedura Erkideari buruzko urriaren 1eko 39/2015 Legearen 133.</w:t>
      </w:r>
      <w:r w:rsidR="00317A03">
        <w:rPr>
          <w:rFonts w:ascii="Arial" w:hAnsi="Arial" w:cs="Arial"/>
          <w:color w:val="auto"/>
          <w:sz w:val="20"/>
          <w:szCs w:val="20"/>
        </w:rPr>
        <w:t>1</w:t>
      </w:r>
      <w:r w:rsidRPr="00317A03">
        <w:rPr>
          <w:rFonts w:ascii="Arial" w:hAnsi="Arial" w:cs="Arial"/>
          <w:color w:val="auto"/>
          <w:sz w:val="20"/>
          <w:szCs w:val="20"/>
        </w:rPr>
        <w:t xml:space="preserve"> artikuluan ezarritakoa betez, aldez aurreko kontsulta egiten da prestatuko den arauak uki ditzakeen pertsonen eta ordezkaritza handiena duten erakundeen iritzia ezagutzeko honako honi buruz: </w:t>
      </w:r>
    </w:p>
    <w:p w14:paraId="4C059D4A" w14:textId="77777777" w:rsidR="006779F4" w:rsidRPr="00317A03" w:rsidRDefault="006779F4" w:rsidP="00317A03">
      <w:pPr>
        <w:pStyle w:val="Default"/>
        <w:spacing w:before="100" w:beforeAutospacing="1" w:after="100" w:afterAutospacing="1" w:line="23" w:lineRule="atLeast"/>
        <w:ind w:left="709"/>
        <w:rPr>
          <w:rFonts w:ascii="Arial" w:eastAsia="Times New Roman" w:hAnsi="Arial" w:cs="Arial"/>
          <w:color w:val="auto"/>
          <w:sz w:val="20"/>
          <w:szCs w:val="20"/>
        </w:rPr>
      </w:pPr>
      <w:r w:rsidRPr="00317A03">
        <w:rPr>
          <w:rFonts w:ascii="Arial" w:hAnsi="Arial" w:cs="Arial"/>
          <w:color w:val="auto"/>
          <w:sz w:val="20"/>
          <w:szCs w:val="20"/>
        </w:rPr>
        <w:t xml:space="preserve">• Ekimenaren bidez konpondu nahi diren arazoak. </w:t>
      </w:r>
    </w:p>
    <w:p w14:paraId="4C059D4B" w14:textId="77777777" w:rsidR="006779F4" w:rsidRPr="00317A03" w:rsidRDefault="006779F4" w:rsidP="00317A03">
      <w:pPr>
        <w:pStyle w:val="Default"/>
        <w:spacing w:before="100" w:beforeAutospacing="1" w:after="100" w:afterAutospacing="1" w:line="23" w:lineRule="atLeast"/>
        <w:ind w:left="709"/>
        <w:rPr>
          <w:rFonts w:ascii="Arial" w:eastAsia="Times New Roman" w:hAnsi="Arial" w:cs="Arial"/>
          <w:color w:val="auto"/>
          <w:sz w:val="20"/>
          <w:szCs w:val="20"/>
        </w:rPr>
      </w:pPr>
      <w:r w:rsidRPr="00317A03">
        <w:rPr>
          <w:rFonts w:ascii="Arial" w:hAnsi="Arial" w:cs="Arial"/>
          <w:color w:val="auto"/>
          <w:sz w:val="20"/>
          <w:szCs w:val="20"/>
        </w:rPr>
        <w:t xml:space="preserve">• Ekimena onartzeko premia eta aukera. </w:t>
      </w:r>
    </w:p>
    <w:p w14:paraId="4C059D4C" w14:textId="77777777" w:rsidR="006779F4" w:rsidRPr="00317A03" w:rsidRDefault="00DA72A6" w:rsidP="00317A03">
      <w:pPr>
        <w:pStyle w:val="Default"/>
        <w:spacing w:before="100" w:beforeAutospacing="1" w:after="100" w:afterAutospacing="1" w:line="23" w:lineRule="atLeast"/>
        <w:ind w:left="709"/>
        <w:rPr>
          <w:rFonts w:ascii="Arial" w:eastAsia="Times New Roman" w:hAnsi="Arial" w:cs="Arial"/>
          <w:color w:val="auto"/>
          <w:sz w:val="20"/>
          <w:szCs w:val="20"/>
        </w:rPr>
      </w:pPr>
      <w:r w:rsidRPr="00317A03">
        <w:rPr>
          <w:rFonts w:ascii="Arial" w:hAnsi="Arial" w:cs="Arial"/>
          <w:color w:val="auto"/>
          <w:sz w:val="20"/>
          <w:szCs w:val="20"/>
        </w:rPr>
        <w:t xml:space="preserve">• Arauaren helburua. </w:t>
      </w:r>
    </w:p>
    <w:p w14:paraId="4C059D4D" w14:textId="77777777" w:rsidR="006779F4" w:rsidRPr="00317A03" w:rsidRDefault="006779F4" w:rsidP="00317A03">
      <w:pPr>
        <w:pStyle w:val="Default"/>
        <w:spacing w:before="100" w:beforeAutospacing="1" w:after="100" w:afterAutospacing="1" w:line="23" w:lineRule="atLeast"/>
        <w:ind w:left="709"/>
        <w:rPr>
          <w:rFonts w:ascii="Arial" w:eastAsia="Times New Roman" w:hAnsi="Arial" w:cs="Arial"/>
          <w:color w:val="auto"/>
          <w:sz w:val="20"/>
          <w:szCs w:val="20"/>
        </w:rPr>
      </w:pPr>
      <w:r w:rsidRPr="00317A03">
        <w:rPr>
          <w:rFonts w:ascii="Arial" w:hAnsi="Arial" w:cs="Arial"/>
          <w:color w:val="auto"/>
          <w:sz w:val="20"/>
          <w:szCs w:val="20"/>
        </w:rPr>
        <w:t xml:space="preserve">• Bestelako aukera posibleak, arauzkoak eta ez-arauzkoak. </w:t>
      </w:r>
    </w:p>
    <w:p w14:paraId="4C059D4E" w14:textId="6A0C3558" w:rsidR="006654B7" w:rsidRPr="00317A03" w:rsidRDefault="006654B7" w:rsidP="00317A03">
      <w:pPr>
        <w:pStyle w:val="Default"/>
        <w:spacing w:before="100" w:beforeAutospacing="1" w:after="100" w:afterAutospacing="1" w:line="23" w:lineRule="atLeast"/>
        <w:jc w:val="both"/>
        <w:rPr>
          <w:rFonts w:ascii="Arial" w:eastAsia="Times New Roman" w:hAnsi="Arial" w:cs="Arial"/>
          <w:color w:val="auto"/>
          <w:sz w:val="20"/>
          <w:szCs w:val="20"/>
        </w:rPr>
      </w:pPr>
    </w:p>
    <w:tbl>
      <w:tblPr>
        <w:tblStyle w:val="Saretaduntaula"/>
        <w:tblW w:w="8416" w:type="dxa"/>
        <w:tblInd w:w="108" w:type="dxa"/>
        <w:tblLook w:val="04A0" w:firstRow="1" w:lastRow="0" w:firstColumn="1" w:lastColumn="0" w:noHBand="0" w:noVBand="1"/>
      </w:tblPr>
      <w:tblGrid>
        <w:gridCol w:w="2100"/>
        <w:gridCol w:w="6316"/>
      </w:tblGrid>
      <w:tr w:rsidR="006654B7" w:rsidRPr="00317A03" w14:paraId="4C059D51" w14:textId="77777777" w:rsidTr="00554FC2">
        <w:trPr>
          <w:trHeight w:val="143"/>
        </w:trPr>
        <w:tc>
          <w:tcPr>
            <w:tcW w:w="2100" w:type="dxa"/>
            <w:shd w:val="clear" w:color="auto" w:fill="DAEEF3" w:themeFill="accent5" w:themeFillTint="33"/>
          </w:tcPr>
          <w:p w14:paraId="4C059D4F" w14:textId="77777777" w:rsidR="006654B7" w:rsidRPr="00317A03" w:rsidRDefault="006654B7" w:rsidP="00317A03">
            <w:pPr>
              <w:pStyle w:val="Default"/>
              <w:spacing w:before="100" w:beforeAutospacing="1" w:after="100" w:afterAutospacing="1" w:line="23" w:lineRule="atLeast"/>
              <w:rPr>
                <w:rFonts w:ascii="Arial" w:eastAsia="Times New Roman" w:hAnsi="Arial" w:cs="Arial"/>
                <w:b/>
                <w:color w:val="auto"/>
                <w:sz w:val="20"/>
                <w:szCs w:val="20"/>
              </w:rPr>
            </w:pPr>
            <w:r w:rsidRPr="00317A03">
              <w:rPr>
                <w:rFonts w:ascii="Arial" w:hAnsi="Arial" w:cs="Arial"/>
                <w:b/>
                <w:color w:val="auto"/>
                <w:sz w:val="20"/>
                <w:szCs w:val="20"/>
              </w:rPr>
              <w:t>Arauaren aurrekariak</w:t>
            </w:r>
          </w:p>
        </w:tc>
        <w:tc>
          <w:tcPr>
            <w:tcW w:w="6316" w:type="dxa"/>
            <w:shd w:val="clear" w:color="auto" w:fill="D6E3BC" w:themeFill="accent3" w:themeFillTint="66"/>
          </w:tcPr>
          <w:p w14:paraId="7396E772" w14:textId="2C9FF39C" w:rsidR="00D155F8" w:rsidRPr="00317A03" w:rsidRDefault="00D155F8" w:rsidP="00317A03">
            <w:pPr>
              <w:pStyle w:val="Default"/>
              <w:spacing w:before="100" w:beforeAutospacing="1" w:after="100" w:afterAutospacing="1" w:line="23" w:lineRule="atLeast"/>
              <w:jc w:val="both"/>
              <w:rPr>
                <w:rFonts w:ascii="Arial" w:hAnsi="Arial" w:cs="Arial"/>
                <w:color w:val="auto"/>
                <w:sz w:val="20"/>
                <w:szCs w:val="20"/>
              </w:rPr>
            </w:pPr>
            <w:r w:rsidRPr="00317A03">
              <w:rPr>
                <w:rFonts w:ascii="Arial" w:hAnsi="Arial" w:cs="Arial"/>
                <w:color w:val="auto"/>
                <w:sz w:val="20"/>
                <w:szCs w:val="20"/>
              </w:rPr>
              <w:t xml:space="preserve">57/2007 Dekretua, apirilaren 3koa, Garapena eta Lankidetza Sustatzeko Fondoaren kargurako </w:t>
            </w:r>
            <w:r w:rsidR="006204C5">
              <w:rPr>
                <w:rFonts w:ascii="Arial" w:hAnsi="Arial" w:cs="Arial"/>
                <w:color w:val="auto"/>
                <w:sz w:val="20"/>
                <w:szCs w:val="20"/>
              </w:rPr>
              <w:t xml:space="preserve">lankidetza- </w:t>
            </w:r>
            <w:r w:rsidRPr="00317A03">
              <w:rPr>
                <w:rFonts w:ascii="Arial" w:hAnsi="Arial" w:cs="Arial"/>
                <w:color w:val="auto"/>
                <w:sz w:val="20"/>
                <w:szCs w:val="20"/>
              </w:rPr>
              <w:t>programetarako laguntzak arautzen dituena.</w:t>
            </w:r>
          </w:p>
          <w:p w14:paraId="5BA2423A" w14:textId="1C2EE9CE" w:rsidR="00D155F8" w:rsidRDefault="00D155F8" w:rsidP="00317A03">
            <w:pPr>
              <w:pStyle w:val="Default"/>
              <w:spacing w:before="100" w:beforeAutospacing="1" w:after="100" w:afterAutospacing="1" w:line="23" w:lineRule="atLeast"/>
              <w:jc w:val="both"/>
              <w:rPr>
                <w:rFonts w:ascii="Arial" w:hAnsi="Arial" w:cs="Arial"/>
                <w:color w:val="auto"/>
                <w:sz w:val="20"/>
                <w:szCs w:val="20"/>
              </w:rPr>
            </w:pPr>
            <w:r w:rsidRPr="00317A03">
              <w:rPr>
                <w:rFonts w:ascii="Arial" w:hAnsi="Arial" w:cs="Arial"/>
                <w:color w:val="auto"/>
                <w:sz w:val="20"/>
                <w:szCs w:val="20"/>
              </w:rPr>
              <w:t xml:space="preserve">2007. urtean, Eusko Jaurlaritzaren Garapen Lankidetzarako Zuzendaritzak (Garapenerako Lankidetzaren Euskal Agentziaren aurrekaria dena), lankidetza-tresna berri bat jarri zuen abian: programak. Tresna hori Garapenerako Lankidetza Funtsaren kargurako </w:t>
            </w:r>
            <w:r w:rsidR="006204C5">
              <w:rPr>
                <w:rFonts w:ascii="Arial" w:hAnsi="Arial" w:cs="Arial"/>
                <w:color w:val="auto"/>
                <w:sz w:val="20"/>
                <w:szCs w:val="20"/>
              </w:rPr>
              <w:t xml:space="preserve">lankidetza- </w:t>
            </w:r>
            <w:r w:rsidRPr="00317A03">
              <w:rPr>
                <w:rFonts w:ascii="Arial" w:hAnsi="Arial" w:cs="Arial"/>
                <w:color w:val="auto"/>
                <w:sz w:val="20"/>
                <w:szCs w:val="20"/>
              </w:rPr>
              <w:t>programetarako laguntzak arautzen dituen Dekretu horrek arautu zuen. Programak urtero deitu ziren 2015era arte, 2013an izan ezik, krisi ekonomikoaren ondorioz funts erabilgarriak murriztu zirelako.</w:t>
            </w:r>
          </w:p>
          <w:p w14:paraId="6846E27C" w14:textId="5EE27F48" w:rsidR="00451871" w:rsidRDefault="00451871" w:rsidP="00317A03">
            <w:pPr>
              <w:pStyle w:val="Default"/>
              <w:spacing w:before="100" w:beforeAutospacing="1" w:after="100" w:afterAutospacing="1" w:line="23" w:lineRule="atLeast"/>
              <w:jc w:val="both"/>
              <w:rPr>
                <w:rFonts w:ascii="Arial" w:hAnsi="Arial" w:cs="Arial"/>
                <w:color w:val="auto"/>
                <w:sz w:val="20"/>
                <w:szCs w:val="20"/>
              </w:rPr>
            </w:pPr>
            <w:r w:rsidRPr="00451871">
              <w:rPr>
                <w:rFonts w:ascii="Arial" w:hAnsi="Arial" w:cs="Arial"/>
                <w:color w:val="auto"/>
                <w:sz w:val="20"/>
                <w:szCs w:val="20"/>
              </w:rPr>
              <w:t>2012an Garapenerako Lankidetzaren Euskal Agentziak langile iraunkorrak jarri zituen, eta</w:t>
            </w:r>
            <w:r>
              <w:rPr>
                <w:rFonts w:ascii="Arial" w:hAnsi="Arial" w:cs="Arial"/>
                <w:color w:val="auto"/>
                <w:sz w:val="20"/>
                <w:szCs w:val="20"/>
              </w:rPr>
              <w:t xml:space="preserve"> ordutik</w:t>
            </w:r>
            <w:r w:rsidRPr="00451871">
              <w:rPr>
                <w:rFonts w:ascii="Arial" w:hAnsi="Arial" w:cs="Arial"/>
                <w:color w:val="auto"/>
                <w:sz w:val="20"/>
                <w:szCs w:val="20"/>
              </w:rPr>
              <w:t xml:space="preserve"> deialdietan diruz lagundutako program</w:t>
            </w:r>
            <w:r>
              <w:rPr>
                <w:rFonts w:ascii="Arial" w:hAnsi="Arial" w:cs="Arial"/>
                <w:color w:val="auto"/>
                <w:sz w:val="20"/>
                <w:szCs w:val="20"/>
              </w:rPr>
              <w:t>ak kudeatzen</w:t>
            </w:r>
            <w:r w:rsidRPr="00451871">
              <w:rPr>
                <w:rFonts w:ascii="Arial" w:hAnsi="Arial" w:cs="Arial"/>
                <w:color w:val="auto"/>
                <w:sz w:val="20"/>
                <w:szCs w:val="20"/>
              </w:rPr>
              <w:t xml:space="preserve"> lortutako esperientziaren bidez, </w:t>
            </w:r>
            <w:r>
              <w:rPr>
                <w:rFonts w:ascii="Arial" w:hAnsi="Arial" w:cs="Arial"/>
                <w:color w:val="auto"/>
                <w:sz w:val="20"/>
                <w:szCs w:val="20"/>
              </w:rPr>
              <w:t>zera ondorioztatu da:</w:t>
            </w:r>
            <w:r w:rsidRPr="00451871">
              <w:rPr>
                <w:rFonts w:ascii="Arial" w:hAnsi="Arial" w:cs="Arial"/>
                <w:color w:val="auto"/>
                <w:sz w:val="20"/>
                <w:szCs w:val="20"/>
              </w:rPr>
              <w:t xml:space="preserve"> </w:t>
            </w:r>
            <w:r w:rsidR="004B1672">
              <w:rPr>
                <w:rFonts w:ascii="Arial" w:hAnsi="Arial" w:cs="Arial"/>
                <w:color w:val="auto"/>
                <w:sz w:val="20"/>
                <w:szCs w:val="20"/>
              </w:rPr>
              <w:t>dirulaguntzen programa</w:t>
            </w:r>
            <w:r w:rsidRPr="00451871">
              <w:rPr>
                <w:rFonts w:ascii="Arial" w:hAnsi="Arial" w:cs="Arial"/>
                <w:color w:val="auto"/>
                <w:sz w:val="20"/>
                <w:szCs w:val="20"/>
              </w:rPr>
              <w:t xml:space="preserve">ren kudeaketa-sistemak ahulezia nabarmenak </w:t>
            </w:r>
            <w:r w:rsidR="004B1672">
              <w:rPr>
                <w:rFonts w:ascii="Arial" w:hAnsi="Arial" w:cs="Arial"/>
                <w:color w:val="auto"/>
                <w:sz w:val="20"/>
                <w:szCs w:val="20"/>
              </w:rPr>
              <w:t>d</w:t>
            </w:r>
            <w:r w:rsidRPr="00451871">
              <w:rPr>
                <w:rFonts w:ascii="Arial" w:hAnsi="Arial" w:cs="Arial"/>
                <w:color w:val="auto"/>
                <w:sz w:val="20"/>
                <w:szCs w:val="20"/>
              </w:rPr>
              <w:t>ituel</w:t>
            </w:r>
            <w:r w:rsidR="004B1672">
              <w:rPr>
                <w:rFonts w:ascii="Arial" w:hAnsi="Arial" w:cs="Arial"/>
                <w:color w:val="auto"/>
                <w:sz w:val="20"/>
                <w:szCs w:val="20"/>
              </w:rPr>
              <w:t>a, eta horrek eragin negatiboa d</w:t>
            </w:r>
            <w:r w:rsidRPr="00451871">
              <w:rPr>
                <w:rFonts w:ascii="Arial" w:hAnsi="Arial" w:cs="Arial"/>
                <w:color w:val="auto"/>
                <w:sz w:val="20"/>
                <w:szCs w:val="20"/>
              </w:rPr>
              <w:t>uela bai finantzatutako proposamenen kalitatean, bai laguntze</w:t>
            </w:r>
            <w:r w:rsidR="004B1672">
              <w:rPr>
                <w:rFonts w:ascii="Arial" w:hAnsi="Arial" w:cs="Arial"/>
                <w:color w:val="auto"/>
                <w:sz w:val="20"/>
                <w:szCs w:val="20"/>
              </w:rPr>
              <w:t>t</w:t>
            </w:r>
            <w:r w:rsidRPr="00451871">
              <w:rPr>
                <w:rFonts w:ascii="Arial" w:hAnsi="Arial" w:cs="Arial"/>
                <w:color w:val="auto"/>
                <w:sz w:val="20"/>
                <w:szCs w:val="20"/>
              </w:rPr>
              <w:t xml:space="preserve">an. Era berean, uste </w:t>
            </w:r>
            <w:r w:rsidR="004B1672">
              <w:rPr>
                <w:rFonts w:ascii="Arial" w:hAnsi="Arial" w:cs="Arial"/>
                <w:color w:val="auto"/>
                <w:sz w:val="20"/>
                <w:szCs w:val="20"/>
              </w:rPr>
              <w:t>da</w:t>
            </w:r>
            <w:r w:rsidRPr="00451871">
              <w:rPr>
                <w:rFonts w:ascii="Arial" w:hAnsi="Arial" w:cs="Arial"/>
                <w:color w:val="auto"/>
                <w:sz w:val="20"/>
                <w:szCs w:val="20"/>
              </w:rPr>
              <w:t xml:space="preserve"> </w:t>
            </w:r>
            <w:r w:rsidR="004B1672">
              <w:rPr>
                <w:rFonts w:ascii="Arial" w:hAnsi="Arial" w:cs="Arial"/>
                <w:color w:val="auto"/>
                <w:sz w:val="20"/>
                <w:szCs w:val="20"/>
              </w:rPr>
              <w:t>diruz lagundutako programek ez d</w:t>
            </w:r>
            <w:r w:rsidRPr="00451871">
              <w:rPr>
                <w:rFonts w:ascii="Arial" w:hAnsi="Arial" w:cs="Arial"/>
                <w:color w:val="auto"/>
                <w:sz w:val="20"/>
                <w:szCs w:val="20"/>
              </w:rPr>
              <w:t xml:space="preserve">ituztela betetzen Dekretuan aurreikusitako </w:t>
            </w:r>
            <w:r w:rsidR="004B1672">
              <w:rPr>
                <w:rFonts w:ascii="Arial" w:hAnsi="Arial" w:cs="Arial"/>
                <w:color w:val="auto"/>
                <w:sz w:val="20"/>
                <w:szCs w:val="20"/>
              </w:rPr>
              <w:t xml:space="preserve">helburuak. Inpaktu positiboak izan baditu ere, </w:t>
            </w:r>
            <w:r w:rsidRPr="00451871">
              <w:rPr>
                <w:rFonts w:ascii="Arial" w:hAnsi="Arial" w:cs="Arial"/>
                <w:color w:val="auto"/>
                <w:sz w:val="20"/>
                <w:szCs w:val="20"/>
              </w:rPr>
              <w:t xml:space="preserve">Garapenerako Lankidetzaren Euskal Agentziaren beste tresna batzuekin alderatuta </w:t>
            </w:r>
            <w:r w:rsidR="004B1672">
              <w:rPr>
                <w:rFonts w:ascii="Arial" w:hAnsi="Arial" w:cs="Arial"/>
                <w:color w:val="auto"/>
                <w:sz w:val="20"/>
                <w:szCs w:val="20"/>
              </w:rPr>
              <w:t>programek</w:t>
            </w:r>
            <w:r w:rsidR="004B1672" w:rsidRPr="00451871">
              <w:rPr>
                <w:rFonts w:ascii="Arial" w:hAnsi="Arial" w:cs="Arial"/>
                <w:color w:val="auto"/>
                <w:sz w:val="20"/>
                <w:szCs w:val="20"/>
              </w:rPr>
              <w:t xml:space="preserve"> ez </w:t>
            </w:r>
            <w:r w:rsidR="004B1672">
              <w:rPr>
                <w:rFonts w:ascii="Arial" w:hAnsi="Arial" w:cs="Arial"/>
                <w:color w:val="auto"/>
                <w:sz w:val="20"/>
                <w:szCs w:val="20"/>
              </w:rPr>
              <w:t xml:space="preserve">dituzte </w:t>
            </w:r>
            <w:r w:rsidR="004B1672" w:rsidRPr="00451871">
              <w:rPr>
                <w:rFonts w:ascii="Arial" w:hAnsi="Arial" w:cs="Arial"/>
                <w:color w:val="auto"/>
                <w:sz w:val="20"/>
                <w:szCs w:val="20"/>
              </w:rPr>
              <w:t xml:space="preserve">behar bezala jasotzen </w:t>
            </w:r>
            <w:r w:rsidRPr="00451871">
              <w:rPr>
                <w:rFonts w:ascii="Arial" w:hAnsi="Arial" w:cs="Arial"/>
                <w:color w:val="auto"/>
                <w:sz w:val="20"/>
                <w:szCs w:val="20"/>
              </w:rPr>
              <w:t xml:space="preserve">esleitzen </w:t>
            </w:r>
            <w:r w:rsidR="004B1672">
              <w:rPr>
                <w:rFonts w:ascii="Arial" w:hAnsi="Arial" w:cs="Arial"/>
                <w:color w:val="auto"/>
                <w:sz w:val="20"/>
                <w:szCs w:val="20"/>
              </w:rPr>
              <w:t>zaizkien</w:t>
            </w:r>
            <w:r w:rsidRPr="00451871">
              <w:rPr>
                <w:rFonts w:ascii="Arial" w:hAnsi="Arial" w:cs="Arial"/>
                <w:color w:val="auto"/>
                <w:sz w:val="20"/>
                <w:szCs w:val="20"/>
              </w:rPr>
              <w:t xml:space="preserve"> elementu bereizgarriak.</w:t>
            </w:r>
          </w:p>
          <w:p w14:paraId="3CF81D7A" w14:textId="1EDE9B9F" w:rsidR="00451871" w:rsidRDefault="004B1672" w:rsidP="00317A03">
            <w:pPr>
              <w:pStyle w:val="Default"/>
              <w:spacing w:before="100" w:beforeAutospacing="1" w:after="100" w:afterAutospacing="1" w:line="23" w:lineRule="atLeast"/>
              <w:jc w:val="both"/>
              <w:rPr>
                <w:rFonts w:ascii="Arial" w:hAnsi="Arial" w:cs="Arial"/>
                <w:color w:val="auto"/>
                <w:sz w:val="20"/>
                <w:szCs w:val="20"/>
              </w:rPr>
            </w:pPr>
            <w:r w:rsidRPr="004B1672">
              <w:rPr>
                <w:rFonts w:ascii="Arial" w:hAnsi="Arial" w:cs="Arial"/>
                <w:color w:val="auto"/>
                <w:sz w:val="20"/>
                <w:szCs w:val="20"/>
              </w:rPr>
              <w:t>2016</w:t>
            </w:r>
            <w:r w:rsidR="004242AF">
              <w:rPr>
                <w:rFonts w:ascii="Arial" w:hAnsi="Arial" w:cs="Arial"/>
                <w:color w:val="auto"/>
                <w:sz w:val="20"/>
                <w:szCs w:val="20"/>
              </w:rPr>
              <w:t xml:space="preserve"> </w:t>
            </w:r>
            <w:r w:rsidRPr="004B1672">
              <w:rPr>
                <w:rFonts w:ascii="Arial" w:hAnsi="Arial" w:cs="Arial"/>
                <w:color w:val="auto"/>
                <w:sz w:val="20"/>
                <w:szCs w:val="20"/>
              </w:rPr>
              <w:t>eta 2017</w:t>
            </w:r>
            <w:r w:rsidR="004242AF">
              <w:rPr>
                <w:rFonts w:ascii="Arial" w:hAnsi="Arial" w:cs="Arial"/>
                <w:color w:val="auto"/>
                <w:sz w:val="20"/>
                <w:szCs w:val="20"/>
              </w:rPr>
              <w:t xml:space="preserve"> bitartean</w:t>
            </w:r>
            <w:r w:rsidRPr="004B1672">
              <w:rPr>
                <w:rFonts w:ascii="Arial" w:hAnsi="Arial" w:cs="Arial"/>
                <w:color w:val="auto"/>
                <w:sz w:val="20"/>
                <w:szCs w:val="20"/>
              </w:rPr>
              <w:t xml:space="preserve"> programa-tresnaren barne-ebaluazioa egin zen, hiru alderdi</w:t>
            </w:r>
            <w:r>
              <w:rPr>
                <w:rFonts w:ascii="Arial" w:hAnsi="Arial" w:cs="Arial"/>
                <w:color w:val="auto"/>
                <w:sz w:val="20"/>
                <w:szCs w:val="20"/>
              </w:rPr>
              <w:t xml:space="preserve"> hauetan</w:t>
            </w:r>
            <w:r w:rsidRPr="004B1672">
              <w:rPr>
                <w:rFonts w:ascii="Arial" w:hAnsi="Arial" w:cs="Arial"/>
                <w:color w:val="auto"/>
                <w:sz w:val="20"/>
                <w:szCs w:val="20"/>
              </w:rPr>
              <w:t xml:space="preserve">: ikuspegia, kudeaketa-eredua eta </w:t>
            </w:r>
            <w:r>
              <w:rPr>
                <w:rFonts w:ascii="Arial" w:hAnsi="Arial" w:cs="Arial"/>
                <w:color w:val="auto"/>
                <w:sz w:val="20"/>
                <w:szCs w:val="20"/>
              </w:rPr>
              <w:t>eskatutako</w:t>
            </w:r>
            <w:r w:rsidRPr="004B1672">
              <w:rPr>
                <w:rFonts w:ascii="Arial" w:hAnsi="Arial" w:cs="Arial"/>
                <w:color w:val="auto"/>
                <w:sz w:val="20"/>
                <w:szCs w:val="20"/>
              </w:rPr>
              <w:t xml:space="preserve"> baldintzak. Prozesu horretan, azterketa- eta eztabaida-gune zabalak </w:t>
            </w:r>
            <w:r>
              <w:rPr>
                <w:rFonts w:ascii="Arial" w:hAnsi="Arial" w:cs="Arial"/>
                <w:color w:val="auto"/>
                <w:sz w:val="20"/>
                <w:szCs w:val="20"/>
              </w:rPr>
              <w:t>bideratu</w:t>
            </w:r>
            <w:r w:rsidRPr="004B1672">
              <w:rPr>
                <w:rFonts w:ascii="Arial" w:hAnsi="Arial" w:cs="Arial"/>
                <w:color w:val="auto"/>
                <w:sz w:val="20"/>
                <w:szCs w:val="20"/>
              </w:rPr>
              <w:t xml:space="preserve"> dira eragile sozial eta instituzionalekin, eta </w:t>
            </w:r>
            <w:r w:rsidRPr="004B1672">
              <w:rPr>
                <w:rFonts w:ascii="Arial" w:hAnsi="Arial" w:cs="Arial"/>
                <w:color w:val="auto"/>
                <w:sz w:val="20"/>
                <w:szCs w:val="20"/>
              </w:rPr>
              <w:lastRenderedPageBreak/>
              <w:t xml:space="preserve">horietan hainbat erakunde publikok </w:t>
            </w:r>
            <w:r>
              <w:rPr>
                <w:rFonts w:ascii="Arial" w:hAnsi="Arial" w:cs="Arial"/>
                <w:color w:val="auto"/>
                <w:sz w:val="20"/>
                <w:szCs w:val="20"/>
              </w:rPr>
              <w:t xml:space="preserve">eta </w:t>
            </w:r>
            <w:r w:rsidRPr="004B1672">
              <w:rPr>
                <w:rFonts w:ascii="Arial" w:hAnsi="Arial" w:cs="Arial"/>
                <w:color w:val="auto"/>
                <w:sz w:val="20"/>
                <w:szCs w:val="20"/>
              </w:rPr>
              <w:t>euskal esparruko 34 erakundek baino gehiagok parte hartu dute.</w:t>
            </w:r>
          </w:p>
          <w:p w14:paraId="6FCF3CF2" w14:textId="04312886" w:rsidR="00905DA4" w:rsidRDefault="004B1672" w:rsidP="00317A03">
            <w:pPr>
              <w:pStyle w:val="Default"/>
              <w:spacing w:before="100" w:beforeAutospacing="1" w:after="100" w:afterAutospacing="1" w:line="23" w:lineRule="atLeast"/>
              <w:jc w:val="both"/>
              <w:rPr>
                <w:rFonts w:ascii="Arial" w:hAnsi="Arial" w:cs="Arial"/>
                <w:color w:val="auto"/>
                <w:sz w:val="20"/>
                <w:szCs w:val="20"/>
              </w:rPr>
            </w:pPr>
            <w:r w:rsidRPr="004B1672">
              <w:rPr>
                <w:rFonts w:ascii="Arial" w:hAnsi="Arial" w:cs="Arial"/>
                <w:color w:val="auto"/>
                <w:sz w:val="20"/>
                <w:szCs w:val="20"/>
              </w:rPr>
              <w:t>2011. urteaz geroztik diruz lagundutako ekimenak aztertzeaz gain,</w:t>
            </w:r>
            <w:r w:rsidR="00905DA4">
              <w:rPr>
                <w:rFonts w:ascii="Arial" w:hAnsi="Arial" w:cs="Arial"/>
                <w:color w:val="auto"/>
                <w:sz w:val="20"/>
                <w:szCs w:val="20"/>
              </w:rPr>
              <w:t xml:space="preserve"> </w:t>
            </w:r>
            <w:r w:rsidR="00905DA4" w:rsidRPr="00905DA4">
              <w:rPr>
                <w:rFonts w:ascii="Arial" w:hAnsi="Arial" w:cs="Arial"/>
                <w:color w:val="auto"/>
                <w:sz w:val="20"/>
                <w:szCs w:val="20"/>
              </w:rPr>
              <w:t>programekin antzekotasun batzuk dituzten tresnak</w:t>
            </w:r>
            <w:r w:rsidR="00905DA4">
              <w:rPr>
                <w:rFonts w:ascii="Arial" w:hAnsi="Arial" w:cs="Arial"/>
                <w:color w:val="auto"/>
                <w:sz w:val="20"/>
                <w:szCs w:val="20"/>
              </w:rPr>
              <w:t xml:space="preserve"> ere aztertu dira. Hau da, beste erakunde publiko batzuek araututakoaren azterketa egin da.</w:t>
            </w:r>
          </w:p>
          <w:p w14:paraId="4D308FDC" w14:textId="77777777" w:rsidR="00905DA4" w:rsidRDefault="00905DA4" w:rsidP="00554FC2">
            <w:pPr>
              <w:pStyle w:val="Default"/>
              <w:spacing w:before="100" w:beforeAutospacing="1" w:after="100" w:afterAutospacing="1" w:line="23" w:lineRule="atLeast"/>
              <w:jc w:val="both"/>
              <w:rPr>
                <w:rFonts w:ascii="Arial" w:eastAsia="Times New Roman" w:hAnsi="Arial" w:cs="Arial"/>
                <w:color w:val="auto"/>
                <w:sz w:val="20"/>
                <w:szCs w:val="20"/>
              </w:rPr>
            </w:pPr>
            <w:r w:rsidRPr="00905DA4">
              <w:rPr>
                <w:rFonts w:ascii="Arial" w:eastAsia="Times New Roman" w:hAnsi="Arial" w:cs="Arial"/>
                <w:color w:val="auto"/>
                <w:sz w:val="20"/>
                <w:szCs w:val="20"/>
              </w:rPr>
              <w:t xml:space="preserve">Egindako ebaluazio-prozesuaren ondorioak eta </w:t>
            </w:r>
            <w:r>
              <w:rPr>
                <w:rFonts w:ascii="Arial" w:eastAsia="Times New Roman" w:hAnsi="Arial" w:cs="Arial"/>
                <w:color w:val="auto"/>
                <w:sz w:val="20"/>
                <w:szCs w:val="20"/>
              </w:rPr>
              <w:t xml:space="preserve">dekretuaren </w:t>
            </w:r>
            <w:r w:rsidRPr="00905DA4">
              <w:rPr>
                <w:rFonts w:ascii="Arial" w:eastAsia="Times New Roman" w:hAnsi="Arial" w:cs="Arial"/>
                <w:color w:val="auto"/>
                <w:sz w:val="20"/>
                <w:szCs w:val="20"/>
              </w:rPr>
              <w:t>aldaketa-proposamenak jendaurrean aurkeztu ziren, 2017ko abenduaren 19an</w:t>
            </w:r>
            <w:r>
              <w:rPr>
                <w:rFonts w:ascii="Arial" w:eastAsia="Times New Roman" w:hAnsi="Arial" w:cs="Arial"/>
                <w:color w:val="auto"/>
                <w:sz w:val="20"/>
                <w:szCs w:val="20"/>
              </w:rPr>
              <w:t xml:space="preserve">. Aurkezpen horretan, </w:t>
            </w:r>
            <w:r w:rsidRPr="00905DA4">
              <w:rPr>
                <w:rFonts w:ascii="Arial" w:eastAsia="Times New Roman" w:hAnsi="Arial" w:cs="Arial"/>
                <w:color w:val="auto"/>
                <w:sz w:val="20"/>
                <w:szCs w:val="20"/>
              </w:rPr>
              <w:t>garapenerako lankidetzari lotutako 29 erakunde egon ziren.</w:t>
            </w:r>
          </w:p>
          <w:p w14:paraId="4C059D50" w14:textId="24D2FC94" w:rsidR="00554FC2" w:rsidRPr="00317A03" w:rsidRDefault="00554FC2" w:rsidP="00554FC2">
            <w:pPr>
              <w:pStyle w:val="Default"/>
              <w:spacing w:before="100" w:beforeAutospacing="1" w:after="100" w:afterAutospacing="1" w:line="23" w:lineRule="atLeast"/>
              <w:jc w:val="both"/>
              <w:rPr>
                <w:rFonts w:ascii="Arial" w:eastAsia="Times New Roman" w:hAnsi="Arial" w:cs="Arial"/>
                <w:color w:val="auto"/>
                <w:sz w:val="20"/>
                <w:szCs w:val="20"/>
              </w:rPr>
            </w:pPr>
          </w:p>
        </w:tc>
      </w:tr>
      <w:tr w:rsidR="006654B7" w:rsidRPr="00317A03" w14:paraId="4C059D54" w14:textId="77777777" w:rsidTr="00554FC2">
        <w:trPr>
          <w:trHeight w:val="143"/>
        </w:trPr>
        <w:tc>
          <w:tcPr>
            <w:tcW w:w="2100" w:type="dxa"/>
            <w:shd w:val="clear" w:color="auto" w:fill="DAEEF3" w:themeFill="accent5" w:themeFillTint="33"/>
          </w:tcPr>
          <w:p w14:paraId="4C059D52" w14:textId="77777777" w:rsidR="006654B7" w:rsidRPr="00317A03" w:rsidRDefault="006654B7" w:rsidP="00317A03">
            <w:pPr>
              <w:pStyle w:val="Default"/>
              <w:spacing w:before="100" w:beforeAutospacing="1" w:after="100" w:afterAutospacing="1" w:line="23" w:lineRule="atLeast"/>
              <w:rPr>
                <w:rFonts w:ascii="Arial" w:eastAsia="Times New Roman" w:hAnsi="Arial" w:cs="Arial"/>
                <w:b/>
                <w:color w:val="auto"/>
                <w:sz w:val="20"/>
                <w:szCs w:val="20"/>
              </w:rPr>
            </w:pPr>
            <w:r w:rsidRPr="00317A03">
              <w:rPr>
                <w:rFonts w:ascii="Arial" w:hAnsi="Arial" w:cs="Arial"/>
                <w:b/>
                <w:color w:val="auto"/>
                <w:sz w:val="20"/>
                <w:szCs w:val="20"/>
              </w:rPr>
              <w:lastRenderedPageBreak/>
              <w:t>Konpondu nahi diren arazoak</w:t>
            </w:r>
          </w:p>
        </w:tc>
        <w:tc>
          <w:tcPr>
            <w:tcW w:w="6316" w:type="dxa"/>
            <w:shd w:val="clear" w:color="auto" w:fill="D6E3BC" w:themeFill="accent3" w:themeFillTint="66"/>
          </w:tcPr>
          <w:p w14:paraId="7E398E57" w14:textId="68D9E203" w:rsidR="00905DA4" w:rsidRPr="00905DA4" w:rsidRDefault="00905DA4" w:rsidP="00905DA4">
            <w:pPr>
              <w:pStyle w:val="Default"/>
              <w:spacing w:before="100" w:beforeAutospacing="1" w:after="100" w:afterAutospacing="1" w:line="23" w:lineRule="atLeast"/>
              <w:jc w:val="both"/>
              <w:rPr>
                <w:rFonts w:ascii="Arial" w:hAnsi="Arial" w:cs="Arial"/>
                <w:color w:val="auto"/>
                <w:sz w:val="20"/>
                <w:szCs w:val="20"/>
              </w:rPr>
            </w:pPr>
            <w:r>
              <w:rPr>
                <w:rFonts w:ascii="Arial" w:hAnsi="Arial" w:cs="Arial"/>
                <w:color w:val="auto"/>
                <w:sz w:val="20"/>
                <w:szCs w:val="20"/>
              </w:rPr>
              <w:t>Dekretu berri bat onartzekotan,</w:t>
            </w:r>
            <w:r w:rsidRPr="00905DA4">
              <w:rPr>
                <w:rFonts w:ascii="Arial" w:hAnsi="Arial" w:cs="Arial"/>
                <w:color w:val="auto"/>
                <w:sz w:val="20"/>
                <w:szCs w:val="20"/>
              </w:rPr>
              <w:t xml:space="preserve"> honako hau lortu nahi da:</w:t>
            </w:r>
          </w:p>
          <w:p w14:paraId="7EE2BE03" w14:textId="77777777" w:rsidR="004551D9" w:rsidRPr="004551D9" w:rsidRDefault="004551D9" w:rsidP="004551D9">
            <w:pPr>
              <w:pStyle w:val="Default"/>
              <w:numPr>
                <w:ilvl w:val="0"/>
                <w:numId w:val="4"/>
              </w:numPr>
              <w:spacing w:before="100" w:beforeAutospacing="1" w:after="100" w:afterAutospacing="1" w:line="23" w:lineRule="atLeast"/>
              <w:jc w:val="both"/>
              <w:rPr>
                <w:rFonts w:ascii="Arial" w:hAnsi="Arial" w:cs="Arial"/>
                <w:color w:val="auto"/>
                <w:sz w:val="20"/>
                <w:szCs w:val="20"/>
              </w:rPr>
            </w:pPr>
            <w:r w:rsidRPr="004551D9">
              <w:rPr>
                <w:rFonts w:ascii="Arial" w:hAnsi="Arial" w:cs="Arial"/>
                <w:color w:val="auto"/>
                <w:sz w:val="20"/>
                <w:szCs w:val="20"/>
              </w:rPr>
              <w:t>Tresnaren elementu bereizgarriak integratzea bultzatzen diren ekimenetan,</w:t>
            </w:r>
          </w:p>
          <w:p w14:paraId="5BA07B17" w14:textId="77777777" w:rsidR="004551D9" w:rsidRPr="004551D9" w:rsidRDefault="004551D9" w:rsidP="004551D9">
            <w:pPr>
              <w:pStyle w:val="Default"/>
              <w:numPr>
                <w:ilvl w:val="0"/>
                <w:numId w:val="4"/>
              </w:numPr>
              <w:spacing w:before="100" w:beforeAutospacing="1" w:after="100" w:afterAutospacing="1" w:line="23" w:lineRule="atLeast"/>
              <w:jc w:val="both"/>
              <w:rPr>
                <w:rFonts w:ascii="Arial" w:hAnsi="Arial" w:cs="Arial"/>
                <w:color w:val="auto"/>
                <w:sz w:val="20"/>
                <w:szCs w:val="20"/>
              </w:rPr>
            </w:pPr>
            <w:r w:rsidRPr="004551D9">
              <w:rPr>
                <w:rFonts w:ascii="Arial" w:hAnsi="Arial" w:cs="Arial"/>
                <w:color w:val="auto"/>
                <w:sz w:val="20"/>
                <w:szCs w:val="20"/>
              </w:rPr>
              <w:t>Lankidetza-programak bi fasetan bereiztea, kudeaketa-sistemak ez dezan murriztu ekimenak gauzatzeko benetako epealdia</w:t>
            </w:r>
          </w:p>
          <w:p w14:paraId="369F00E4" w14:textId="77777777" w:rsidR="004551D9" w:rsidRPr="004551D9" w:rsidRDefault="004551D9" w:rsidP="004551D9">
            <w:pPr>
              <w:pStyle w:val="Default"/>
              <w:numPr>
                <w:ilvl w:val="0"/>
                <w:numId w:val="4"/>
              </w:numPr>
              <w:spacing w:before="100" w:beforeAutospacing="1" w:after="100" w:afterAutospacing="1" w:line="23" w:lineRule="atLeast"/>
              <w:jc w:val="both"/>
              <w:rPr>
                <w:rFonts w:ascii="Arial" w:hAnsi="Arial" w:cs="Arial"/>
                <w:color w:val="auto"/>
                <w:sz w:val="20"/>
                <w:szCs w:val="20"/>
              </w:rPr>
            </w:pPr>
            <w:r w:rsidRPr="004551D9">
              <w:rPr>
                <w:rFonts w:ascii="Arial" w:hAnsi="Arial" w:cs="Arial"/>
                <w:color w:val="auto"/>
                <w:sz w:val="20"/>
                <w:szCs w:val="20"/>
              </w:rPr>
              <w:t>Tresnaren malgutasuna handitzea, eta</w:t>
            </w:r>
          </w:p>
          <w:p w14:paraId="0CF1F503" w14:textId="77777777" w:rsidR="004551D9" w:rsidRPr="004551D9" w:rsidRDefault="004551D9" w:rsidP="004551D9">
            <w:pPr>
              <w:pStyle w:val="Default"/>
              <w:numPr>
                <w:ilvl w:val="0"/>
                <w:numId w:val="4"/>
              </w:numPr>
              <w:spacing w:before="100" w:beforeAutospacing="1" w:after="100" w:afterAutospacing="1" w:line="23" w:lineRule="atLeast"/>
              <w:jc w:val="both"/>
              <w:rPr>
                <w:rFonts w:ascii="Arial" w:hAnsi="Arial" w:cs="Arial"/>
                <w:color w:val="auto"/>
                <w:sz w:val="20"/>
                <w:szCs w:val="20"/>
              </w:rPr>
            </w:pPr>
            <w:r w:rsidRPr="004551D9">
              <w:rPr>
                <w:rFonts w:ascii="Arial" w:hAnsi="Arial" w:cs="Arial"/>
                <w:color w:val="auto"/>
                <w:sz w:val="20"/>
                <w:szCs w:val="20"/>
              </w:rPr>
              <w:t>Aurretiazko egiaztapen-prozeduraren ordez, deialdi bakoitzean egiaztatu beharreko baldintza batzuk ezartzea, eta, aldi berean, horiek tresnaren beraren helburuetara egokitzea, ekimenak tresnaren elementu bereizgarriekin lerrokatuz.</w:t>
            </w:r>
          </w:p>
          <w:p w14:paraId="4C059D53" w14:textId="4A118C0A" w:rsidR="00554FC2" w:rsidRPr="00317A03" w:rsidRDefault="00554FC2" w:rsidP="002505CB">
            <w:pPr>
              <w:pStyle w:val="Default"/>
              <w:spacing w:before="100" w:beforeAutospacing="1" w:after="100" w:afterAutospacing="1" w:line="23" w:lineRule="atLeast"/>
              <w:ind w:left="720"/>
              <w:jc w:val="both"/>
              <w:rPr>
                <w:rFonts w:ascii="Arial" w:hAnsi="Arial" w:cs="Arial"/>
                <w:color w:val="auto"/>
                <w:sz w:val="20"/>
                <w:szCs w:val="20"/>
              </w:rPr>
            </w:pPr>
          </w:p>
        </w:tc>
      </w:tr>
      <w:tr w:rsidR="006654B7" w:rsidRPr="00317A03" w14:paraId="4C059D58" w14:textId="77777777" w:rsidTr="00554FC2">
        <w:trPr>
          <w:trHeight w:val="143"/>
        </w:trPr>
        <w:tc>
          <w:tcPr>
            <w:tcW w:w="2100" w:type="dxa"/>
            <w:shd w:val="clear" w:color="auto" w:fill="DAEEF3" w:themeFill="accent5" w:themeFillTint="33"/>
          </w:tcPr>
          <w:p w14:paraId="4C059D55" w14:textId="77777777" w:rsidR="006654B7" w:rsidRPr="00317A03" w:rsidRDefault="006654B7" w:rsidP="00317A03">
            <w:pPr>
              <w:pStyle w:val="Default"/>
              <w:spacing w:before="100" w:beforeAutospacing="1" w:after="100" w:afterAutospacing="1" w:line="23" w:lineRule="atLeast"/>
              <w:rPr>
                <w:rFonts w:ascii="Arial" w:eastAsia="Times New Roman" w:hAnsi="Arial" w:cs="Arial"/>
                <w:b/>
                <w:color w:val="auto"/>
                <w:sz w:val="20"/>
                <w:szCs w:val="20"/>
              </w:rPr>
            </w:pPr>
            <w:r w:rsidRPr="00317A03">
              <w:rPr>
                <w:rFonts w:ascii="Arial" w:hAnsi="Arial" w:cs="Arial"/>
                <w:b/>
                <w:color w:val="auto"/>
                <w:sz w:val="20"/>
                <w:szCs w:val="20"/>
              </w:rPr>
              <w:t>Ekimena onartzeko premia eta aukera.</w:t>
            </w:r>
          </w:p>
        </w:tc>
        <w:tc>
          <w:tcPr>
            <w:tcW w:w="6316" w:type="dxa"/>
            <w:shd w:val="clear" w:color="auto" w:fill="D6E3BC" w:themeFill="accent3" w:themeFillTint="66"/>
          </w:tcPr>
          <w:p w14:paraId="069A0346" w14:textId="77777777" w:rsidR="004551D9" w:rsidRPr="004551D9" w:rsidRDefault="006654B7" w:rsidP="004551D9">
            <w:pPr>
              <w:pStyle w:val="Default"/>
              <w:spacing w:before="100" w:beforeAutospacing="1" w:after="100" w:afterAutospacing="1" w:line="23" w:lineRule="atLeast"/>
              <w:jc w:val="both"/>
              <w:rPr>
                <w:rFonts w:ascii="Arial" w:hAnsi="Arial" w:cs="Arial"/>
                <w:color w:val="auto"/>
                <w:sz w:val="20"/>
                <w:szCs w:val="20"/>
              </w:rPr>
            </w:pPr>
            <w:r w:rsidRPr="00317A03">
              <w:rPr>
                <w:rFonts w:ascii="Arial" w:hAnsi="Arial" w:cs="Arial"/>
                <w:b/>
                <w:color w:val="auto"/>
                <w:sz w:val="20"/>
                <w:szCs w:val="20"/>
              </w:rPr>
              <w:t>Premia</w:t>
            </w:r>
            <w:r w:rsidRPr="00317A03">
              <w:rPr>
                <w:rFonts w:ascii="Arial" w:hAnsi="Arial" w:cs="Arial"/>
                <w:color w:val="auto"/>
                <w:sz w:val="20"/>
                <w:szCs w:val="20"/>
              </w:rPr>
              <w:t>:</w:t>
            </w:r>
            <w:r w:rsidR="00576B92" w:rsidRPr="00576B92">
              <w:rPr>
                <w:rFonts w:ascii="Arial" w:hAnsi="Arial" w:cs="Arial"/>
                <w:color w:val="auto"/>
                <w:sz w:val="20"/>
                <w:szCs w:val="20"/>
              </w:rPr>
              <w:t xml:space="preserve"> </w:t>
            </w:r>
            <w:r w:rsidR="004551D9" w:rsidRPr="004551D9">
              <w:rPr>
                <w:rFonts w:ascii="Arial" w:hAnsi="Arial" w:cs="Arial"/>
                <w:color w:val="auto"/>
                <w:sz w:val="20"/>
                <w:szCs w:val="20"/>
              </w:rPr>
              <w:t>2007. urtean laguntzen lehen deialdia egin zenetik gaur arte, 53 programa sustatu dira, eta guztira 57.413.144,72 euroko dirulaguntza eman da. Denbora-tarte horretan, 15 erakundek baino ez zuten egiaztatu laguntza-deialdietan parte hartzeko baldintzak betetzen zituztela, horietatik, 14k proposamenak aurkeztu zituzten eta dirulaguntzak jaso zituzten.</w:t>
            </w:r>
          </w:p>
          <w:p w14:paraId="5D7C5B16" w14:textId="77777777" w:rsidR="004551D9" w:rsidRPr="004551D9" w:rsidRDefault="004551D9" w:rsidP="004551D9">
            <w:pPr>
              <w:pStyle w:val="Default"/>
              <w:spacing w:before="100" w:beforeAutospacing="1" w:after="100" w:afterAutospacing="1" w:line="23" w:lineRule="atLeast"/>
              <w:jc w:val="both"/>
              <w:rPr>
                <w:rFonts w:ascii="Arial" w:hAnsi="Arial" w:cs="Arial"/>
                <w:color w:val="auto"/>
                <w:sz w:val="20"/>
                <w:szCs w:val="20"/>
              </w:rPr>
            </w:pPr>
            <w:r w:rsidRPr="004551D9">
              <w:rPr>
                <w:rFonts w:ascii="Arial" w:hAnsi="Arial" w:cs="Arial"/>
                <w:color w:val="auto"/>
                <w:sz w:val="20"/>
                <w:szCs w:val="20"/>
              </w:rPr>
              <w:t>Garapenerako lankidetzako beste tresna batzuen aldean, programak eraldaketa sakonagoak sortzeko sortu ziren, baita horiek integralagoak izateko ere. Horregatik, beharrezkotzat jo da tresnari finantzaketa handiagoa, gauzatze-aldi handiagoa eta gauzatu aurretik identifikatzeko fase bat ematea, baita garapenerako hezkuntzari buruzko atal bat eta maila anitzeko ekintzaren aldeko apustua txertatzea ere.</w:t>
            </w:r>
          </w:p>
          <w:p w14:paraId="06BF4B59" w14:textId="77777777" w:rsidR="004551D9" w:rsidRPr="004551D9" w:rsidRDefault="004551D9" w:rsidP="004551D9">
            <w:pPr>
              <w:pStyle w:val="Default"/>
              <w:spacing w:before="100" w:beforeAutospacing="1" w:after="100" w:afterAutospacing="1" w:line="23" w:lineRule="atLeast"/>
              <w:jc w:val="both"/>
              <w:rPr>
                <w:rFonts w:ascii="Arial" w:hAnsi="Arial" w:cs="Arial"/>
                <w:color w:val="auto"/>
                <w:sz w:val="20"/>
                <w:szCs w:val="20"/>
              </w:rPr>
            </w:pPr>
            <w:r w:rsidRPr="004551D9">
              <w:rPr>
                <w:rFonts w:ascii="Arial" w:hAnsi="Arial" w:cs="Arial"/>
                <w:color w:val="auto"/>
                <w:sz w:val="20"/>
                <w:szCs w:val="20"/>
              </w:rPr>
              <w:t>Deialdi desberdinetan diruz lagundutako programei egindako jarraipenean lortutako esperientziak agerian utzi du programak kudeatzeko sistemak ahulezia nabarmenak zituela, eta horrek eragin negatiboa zuela finantzatutako proposamenen kalitatean eta ematen zen laguntzan. Era berean, egiaztatu zen diruz lagundutako programek, inpaktu positiboak sortu arren, ez zituztela programa-tresnaren elementu bereizgarriak behar bezala integratzen (Garapenerako Lankidetzaren Euskal Agentziaren beste tresna batzuekin alderatuta). Beharrezkoa da ikuspegi global-lokala sartzea tresnaren nortasun-ikur gisa.</w:t>
            </w:r>
          </w:p>
          <w:p w14:paraId="73BA3C38" w14:textId="77777777" w:rsidR="004551D9" w:rsidRPr="004551D9" w:rsidRDefault="004551D9" w:rsidP="004551D9">
            <w:pPr>
              <w:pStyle w:val="Default"/>
              <w:spacing w:before="100" w:beforeAutospacing="1" w:after="100" w:afterAutospacing="1" w:line="23" w:lineRule="atLeast"/>
              <w:jc w:val="both"/>
              <w:rPr>
                <w:rFonts w:ascii="Arial" w:hAnsi="Arial" w:cs="Arial"/>
                <w:color w:val="auto"/>
                <w:sz w:val="20"/>
                <w:szCs w:val="20"/>
              </w:rPr>
            </w:pPr>
            <w:r w:rsidRPr="004551D9">
              <w:rPr>
                <w:rFonts w:ascii="Arial" w:hAnsi="Arial" w:cs="Arial"/>
                <w:color w:val="auto"/>
                <w:sz w:val="20"/>
                <w:szCs w:val="20"/>
              </w:rPr>
              <w:t xml:space="preserve">Esku hartzen duten subjektuen arteko lan-eskemaren aldaketa ere beharrezkoa da, funtzionamenduaren, kudeaketaren eta baliabideen transferentziaren logika bertikal bat ezartzeko, eta iparraldeko eta </w:t>
            </w:r>
            <w:r w:rsidRPr="004551D9">
              <w:rPr>
                <w:rFonts w:ascii="Arial" w:hAnsi="Arial" w:cs="Arial"/>
                <w:color w:val="auto"/>
                <w:sz w:val="20"/>
                <w:szCs w:val="20"/>
              </w:rPr>
              <w:lastRenderedPageBreak/>
              <w:t xml:space="preserve">hegoaldeko ekimenen garapena argi eta garbi bereizten duen lan-eskema bat agerian uzteko. Hori dela eta, erakundeen arteko lan </w:t>
            </w:r>
            <w:proofErr w:type="spellStart"/>
            <w:r w:rsidRPr="004551D9">
              <w:rPr>
                <w:rFonts w:ascii="Arial" w:hAnsi="Arial" w:cs="Arial"/>
                <w:color w:val="auto"/>
                <w:sz w:val="20"/>
                <w:szCs w:val="20"/>
              </w:rPr>
              <w:t>artikulatuagoa</w:t>
            </w:r>
            <w:proofErr w:type="spellEnd"/>
            <w:r w:rsidRPr="004551D9">
              <w:rPr>
                <w:rFonts w:ascii="Arial" w:hAnsi="Arial" w:cs="Arial"/>
                <w:color w:val="auto"/>
                <w:sz w:val="20"/>
                <w:szCs w:val="20"/>
              </w:rPr>
              <w:t xml:space="preserve"> eta osagarriagoa ezarri behar da, erronka komunei heltzeko. Horrela, eskatutako baldintzak ez dira ezarriko dirulaguntza gauzatzen parte hartzen duten erakundeen jatorri geografikoaren arabera, edota dauden partzuergoetako buru diren ala ez kontuan hartuta; aitzitik, erakunde bakoitzak dirulaguntzaren kudeaketan eta gauzatzean duen partaidetza-mailaren arabera zehaztuko dira, jatorri geografikoa edozein dela ere.</w:t>
            </w:r>
          </w:p>
          <w:p w14:paraId="60FFE70E" w14:textId="3CA2E3F5" w:rsidR="00576B92" w:rsidRDefault="004551D9" w:rsidP="004551D9">
            <w:pPr>
              <w:pStyle w:val="Default"/>
              <w:spacing w:before="100" w:beforeAutospacing="1" w:after="100" w:afterAutospacing="1" w:line="23" w:lineRule="atLeast"/>
              <w:jc w:val="both"/>
              <w:rPr>
                <w:rFonts w:ascii="Arial" w:hAnsi="Arial" w:cs="Arial"/>
                <w:color w:val="auto"/>
                <w:sz w:val="20"/>
                <w:szCs w:val="20"/>
              </w:rPr>
            </w:pPr>
            <w:r w:rsidRPr="004551D9">
              <w:rPr>
                <w:rFonts w:ascii="Arial" w:hAnsi="Arial" w:cs="Arial"/>
                <w:color w:val="auto"/>
                <w:sz w:val="20"/>
                <w:szCs w:val="20"/>
              </w:rPr>
              <w:t xml:space="preserve">Aurretik aipatutakoari gehitu behar zaio laguntzak emateko eta kudeatzeko prozedura ez zela eraginkorra, programei dirulaguntza osoa hasieran ematen </w:t>
            </w:r>
            <w:proofErr w:type="spellStart"/>
            <w:r w:rsidRPr="004551D9">
              <w:rPr>
                <w:rFonts w:ascii="Arial" w:hAnsi="Arial" w:cs="Arial"/>
                <w:color w:val="auto"/>
                <w:sz w:val="20"/>
                <w:szCs w:val="20"/>
              </w:rPr>
              <w:t>baitzitzaien</w:t>
            </w:r>
            <w:proofErr w:type="spellEnd"/>
            <w:r w:rsidRPr="004551D9">
              <w:rPr>
                <w:rFonts w:ascii="Arial" w:hAnsi="Arial" w:cs="Arial"/>
                <w:color w:val="auto"/>
                <w:sz w:val="20"/>
                <w:szCs w:val="20"/>
              </w:rPr>
              <w:t xml:space="preserve"> (aurkeztutako profilak baloratu ondoren, eta behin betiko proposamenak identifikatu eta formulatzeko fasea garatu aurretik). Horregatik, ezinbestekotzat jotzen da identifikazio- eta egikaritze-faseak argi eta garbi bereiztea, diruz lagun daitezkeen bi fase desberdin diren aldetik. Gainera, egikaritze-fasearen finantzaketa baldintzatu nahi da, programen behin betiko proposamenak baloratzeko prozesu baten bitartez.</w:t>
            </w:r>
          </w:p>
          <w:p w14:paraId="40E10E18" w14:textId="575440FF" w:rsidR="001E27F7" w:rsidRDefault="006654B7" w:rsidP="00554FC2">
            <w:pPr>
              <w:pStyle w:val="Default"/>
              <w:spacing w:before="100" w:beforeAutospacing="1" w:after="100" w:afterAutospacing="1" w:line="23" w:lineRule="atLeast"/>
              <w:jc w:val="both"/>
              <w:rPr>
                <w:rFonts w:ascii="Arial" w:hAnsi="Arial" w:cs="Arial"/>
                <w:color w:val="auto"/>
                <w:sz w:val="20"/>
                <w:szCs w:val="20"/>
              </w:rPr>
            </w:pPr>
            <w:r w:rsidRPr="00317A03">
              <w:rPr>
                <w:rFonts w:ascii="Arial" w:hAnsi="Arial" w:cs="Arial"/>
                <w:b/>
                <w:color w:val="auto"/>
                <w:sz w:val="20"/>
                <w:szCs w:val="20"/>
              </w:rPr>
              <w:t>Aukera</w:t>
            </w:r>
            <w:r w:rsidR="001E27F7">
              <w:rPr>
                <w:rFonts w:ascii="Arial" w:hAnsi="Arial" w:cs="Arial"/>
                <w:color w:val="auto"/>
                <w:sz w:val="20"/>
                <w:szCs w:val="20"/>
              </w:rPr>
              <w:t xml:space="preserve">: </w:t>
            </w:r>
            <w:r w:rsidR="004551D9" w:rsidRPr="004551D9">
              <w:rPr>
                <w:rFonts w:ascii="Arial" w:hAnsi="Arial" w:cs="Arial"/>
                <w:color w:val="auto"/>
                <w:sz w:val="20"/>
                <w:szCs w:val="20"/>
              </w:rPr>
              <w:t>Apirilaren 3ko 57/2007 Dekretua argitaratu zenetik igarotako denborak, Garapenerako Lankidetzaren Euskal Agentzia sortu zenetik igarotako denborak (ekainaren 19ko 5/2008 Legearen bidez arautua) eta aurretik aipatutako arazoei irtenbidea emateko arrazoiek beharrezko egiten dute garapenerako lankidetza- programetako laguntzen araudi berri bat onartzea.</w:t>
            </w:r>
          </w:p>
          <w:p w14:paraId="4C059D57" w14:textId="35816A8A" w:rsidR="00554FC2" w:rsidRPr="001E27F7" w:rsidRDefault="00554FC2" w:rsidP="00554FC2">
            <w:pPr>
              <w:pStyle w:val="Default"/>
              <w:spacing w:before="100" w:beforeAutospacing="1" w:after="100" w:afterAutospacing="1" w:line="23" w:lineRule="atLeast"/>
              <w:jc w:val="both"/>
              <w:rPr>
                <w:rFonts w:ascii="Arial" w:hAnsi="Arial" w:cs="Arial"/>
                <w:color w:val="auto"/>
                <w:sz w:val="20"/>
                <w:szCs w:val="20"/>
              </w:rPr>
            </w:pPr>
          </w:p>
        </w:tc>
      </w:tr>
      <w:tr w:rsidR="006654B7" w:rsidRPr="00317A03" w14:paraId="4C059D5C" w14:textId="77777777" w:rsidTr="00554FC2">
        <w:trPr>
          <w:trHeight w:val="5239"/>
        </w:trPr>
        <w:tc>
          <w:tcPr>
            <w:tcW w:w="2100" w:type="dxa"/>
            <w:shd w:val="clear" w:color="auto" w:fill="DAEEF3" w:themeFill="accent5" w:themeFillTint="33"/>
          </w:tcPr>
          <w:p w14:paraId="4C059D59" w14:textId="01970DC5" w:rsidR="006654B7" w:rsidRPr="00317A03" w:rsidRDefault="00905DA4" w:rsidP="00905DA4">
            <w:pPr>
              <w:pStyle w:val="Default"/>
              <w:spacing w:before="100" w:beforeAutospacing="1" w:after="100" w:afterAutospacing="1" w:line="23" w:lineRule="atLeast"/>
              <w:rPr>
                <w:rFonts w:ascii="Arial" w:eastAsia="Times New Roman" w:hAnsi="Arial" w:cs="Arial"/>
                <w:color w:val="auto"/>
                <w:sz w:val="20"/>
                <w:szCs w:val="20"/>
              </w:rPr>
            </w:pPr>
            <w:r>
              <w:rPr>
                <w:rFonts w:ascii="Arial" w:hAnsi="Arial" w:cs="Arial"/>
                <w:b/>
                <w:color w:val="auto"/>
                <w:sz w:val="20"/>
                <w:szCs w:val="20"/>
              </w:rPr>
              <w:lastRenderedPageBreak/>
              <w:t>Arauaren xedea</w:t>
            </w:r>
          </w:p>
        </w:tc>
        <w:tc>
          <w:tcPr>
            <w:tcW w:w="6316" w:type="dxa"/>
            <w:shd w:val="clear" w:color="auto" w:fill="D6E3BC" w:themeFill="accent3" w:themeFillTint="66"/>
          </w:tcPr>
          <w:p w14:paraId="66476551" w14:textId="77777777" w:rsidR="004551D9" w:rsidRPr="004551D9" w:rsidRDefault="004551D9" w:rsidP="004551D9">
            <w:pPr>
              <w:spacing w:before="100" w:beforeAutospacing="1" w:after="100" w:afterAutospacing="1" w:line="23" w:lineRule="atLeast"/>
              <w:jc w:val="both"/>
              <w:rPr>
                <w:rFonts w:ascii="Arial" w:hAnsi="Arial" w:cs="Arial"/>
                <w:sz w:val="20"/>
                <w:szCs w:val="20"/>
              </w:rPr>
            </w:pPr>
            <w:r w:rsidRPr="004551D9">
              <w:rPr>
                <w:rFonts w:ascii="Arial" w:hAnsi="Arial" w:cs="Arial"/>
                <w:sz w:val="20"/>
                <w:szCs w:val="20"/>
              </w:rPr>
              <w:t>Proiektatzen den arauaren xedeak dira, alde batetik, ikuspegi lokal-globala programen nortasun-ikur gisa kokatzea, eta, bestetik, aurkeztutako ekimenetan ikuspegi hori behar bezala txertatzen dela bermatuko duen kudeaketa-sistema bat ezartzea.</w:t>
            </w:r>
          </w:p>
          <w:p w14:paraId="5C06B468" w14:textId="77777777" w:rsidR="004551D9" w:rsidRPr="004551D9" w:rsidRDefault="004551D9" w:rsidP="004551D9">
            <w:pPr>
              <w:spacing w:before="100" w:beforeAutospacing="1" w:after="100" w:afterAutospacing="1" w:line="23" w:lineRule="atLeast"/>
              <w:jc w:val="both"/>
              <w:rPr>
                <w:rFonts w:ascii="Arial" w:hAnsi="Arial" w:cs="Arial"/>
                <w:sz w:val="20"/>
                <w:szCs w:val="20"/>
              </w:rPr>
            </w:pPr>
            <w:r w:rsidRPr="004551D9">
              <w:rPr>
                <w:rFonts w:ascii="Arial" w:hAnsi="Arial" w:cs="Arial"/>
                <w:sz w:val="20"/>
                <w:szCs w:val="20"/>
              </w:rPr>
              <w:t xml:space="preserve">Horrek ez du esan nahi aurreko araudian programei esleitutako helburuak eskatzeari uzten zaionik, baizik eta aurrerapen bat egiten dela, </w:t>
            </w:r>
            <w:proofErr w:type="spellStart"/>
            <w:r w:rsidRPr="004551D9">
              <w:rPr>
                <w:rFonts w:ascii="Arial" w:hAnsi="Arial" w:cs="Arial"/>
                <w:sz w:val="20"/>
                <w:szCs w:val="20"/>
              </w:rPr>
              <w:t>GLEAk</w:t>
            </w:r>
            <w:proofErr w:type="spellEnd"/>
            <w:r w:rsidRPr="004551D9">
              <w:rPr>
                <w:rFonts w:ascii="Arial" w:hAnsi="Arial" w:cs="Arial"/>
                <w:sz w:val="20"/>
                <w:szCs w:val="20"/>
              </w:rPr>
              <w:t xml:space="preserve"> dituen beste tresna batzuen aldean, esleitzen zaizkien elementu bereizgarrietan eta balio erantsian arreta ipiniz.</w:t>
            </w:r>
          </w:p>
          <w:p w14:paraId="0843EDC6" w14:textId="77777777" w:rsidR="004551D9" w:rsidRPr="004551D9" w:rsidRDefault="004551D9" w:rsidP="004551D9">
            <w:pPr>
              <w:spacing w:before="100" w:beforeAutospacing="1" w:after="100" w:afterAutospacing="1" w:line="23" w:lineRule="atLeast"/>
              <w:jc w:val="both"/>
              <w:rPr>
                <w:rFonts w:ascii="Arial" w:hAnsi="Arial" w:cs="Arial"/>
                <w:sz w:val="20"/>
                <w:szCs w:val="20"/>
              </w:rPr>
            </w:pPr>
            <w:r w:rsidRPr="004551D9">
              <w:rPr>
                <w:rFonts w:ascii="Arial" w:hAnsi="Arial" w:cs="Arial"/>
                <w:sz w:val="20"/>
                <w:szCs w:val="20"/>
              </w:rPr>
              <w:t>Bestalde, arau berriak ezabatu egiten ditu apirilaren 3ko 57/2007 Dekretua kudeatzeko zailtasun eta ahulgune nagusiak.</w:t>
            </w:r>
          </w:p>
          <w:p w14:paraId="3BD3235E" w14:textId="77777777" w:rsidR="00554FC2" w:rsidRDefault="004551D9" w:rsidP="004551D9">
            <w:pPr>
              <w:spacing w:before="100" w:beforeAutospacing="1" w:after="100" w:afterAutospacing="1" w:line="23" w:lineRule="atLeast"/>
              <w:jc w:val="both"/>
              <w:rPr>
                <w:rFonts w:ascii="Arial" w:hAnsi="Arial" w:cs="Arial"/>
                <w:sz w:val="20"/>
                <w:szCs w:val="20"/>
              </w:rPr>
            </w:pPr>
            <w:r w:rsidRPr="004551D9">
              <w:rPr>
                <w:rFonts w:ascii="Arial" w:hAnsi="Arial" w:cs="Arial"/>
                <w:sz w:val="20"/>
                <w:szCs w:val="20"/>
              </w:rPr>
              <w:t>Lau dira proiektatutako aldaketak: tresna ikuspegi lokal-globalera bideratzea, esku hartzen duten subjektuen artean lan-eredu bat ezartzea aipatutako asmo horrekin bat etorriz, identifikazio- eta gauzatze-faseak bereiztea –bigarren faserako sarbidea lehenengoaren onarpenaren araberakoa izango litzateke–, eta erakundeen aldez aurreko egiaztapen-prozeduraren ordez, deialdi bakoitzean ziurtatu beharreko baldintza batzuk ezartzea.</w:t>
            </w:r>
          </w:p>
          <w:p w14:paraId="4C059D5B" w14:textId="4B31428E" w:rsidR="004551D9" w:rsidRPr="00317A03" w:rsidRDefault="004551D9" w:rsidP="004551D9">
            <w:pPr>
              <w:spacing w:before="100" w:beforeAutospacing="1" w:after="100" w:afterAutospacing="1" w:line="23" w:lineRule="atLeast"/>
              <w:jc w:val="both"/>
              <w:rPr>
                <w:rFonts w:ascii="Arial" w:hAnsi="Arial" w:cs="Arial"/>
                <w:sz w:val="20"/>
                <w:szCs w:val="20"/>
              </w:rPr>
            </w:pPr>
          </w:p>
        </w:tc>
      </w:tr>
      <w:tr w:rsidR="006654B7" w:rsidRPr="00317A03" w14:paraId="4C059D5F" w14:textId="77777777" w:rsidTr="00554FC2">
        <w:trPr>
          <w:trHeight w:val="938"/>
        </w:trPr>
        <w:tc>
          <w:tcPr>
            <w:tcW w:w="2100" w:type="dxa"/>
            <w:shd w:val="clear" w:color="auto" w:fill="DAEEF3" w:themeFill="accent5" w:themeFillTint="33"/>
          </w:tcPr>
          <w:p w14:paraId="5F9C1BDA" w14:textId="77777777" w:rsidR="006654B7" w:rsidRDefault="006654B7" w:rsidP="00317A03">
            <w:pPr>
              <w:pStyle w:val="Default"/>
              <w:spacing w:before="100" w:beforeAutospacing="1" w:after="100" w:afterAutospacing="1" w:line="23" w:lineRule="atLeast"/>
              <w:rPr>
                <w:rFonts w:ascii="Arial" w:hAnsi="Arial" w:cs="Arial"/>
                <w:b/>
                <w:color w:val="auto"/>
                <w:sz w:val="20"/>
                <w:szCs w:val="20"/>
              </w:rPr>
            </w:pPr>
            <w:r w:rsidRPr="00317A03">
              <w:rPr>
                <w:rFonts w:ascii="Arial" w:hAnsi="Arial" w:cs="Arial"/>
                <w:b/>
                <w:color w:val="auto"/>
                <w:sz w:val="20"/>
                <w:szCs w:val="20"/>
              </w:rPr>
              <w:t>Bestelako aukerak, arautzekoak eta arautzekoak ez direnak</w:t>
            </w:r>
          </w:p>
          <w:p w14:paraId="4C059D5D" w14:textId="70C20DE6" w:rsidR="00905DA4" w:rsidRPr="00317A03" w:rsidRDefault="00905DA4" w:rsidP="00317A03">
            <w:pPr>
              <w:pStyle w:val="Default"/>
              <w:spacing w:before="100" w:beforeAutospacing="1" w:after="100" w:afterAutospacing="1" w:line="23" w:lineRule="atLeast"/>
              <w:rPr>
                <w:rFonts w:ascii="Arial" w:eastAsia="Times New Roman" w:hAnsi="Arial" w:cs="Arial"/>
                <w:b/>
                <w:color w:val="auto"/>
                <w:sz w:val="20"/>
                <w:szCs w:val="20"/>
              </w:rPr>
            </w:pPr>
          </w:p>
        </w:tc>
        <w:tc>
          <w:tcPr>
            <w:tcW w:w="6316" w:type="dxa"/>
            <w:shd w:val="clear" w:color="auto" w:fill="D6E3BC" w:themeFill="accent3" w:themeFillTint="66"/>
          </w:tcPr>
          <w:p w14:paraId="085FA521" w14:textId="77777777" w:rsidR="00576B92" w:rsidRDefault="004551D9" w:rsidP="00317A03">
            <w:pPr>
              <w:pStyle w:val="Default"/>
              <w:spacing w:before="100" w:beforeAutospacing="1" w:after="100" w:afterAutospacing="1" w:line="23" w:lineRule="atLeast"/>
              <w:rPr>
                <w:rFonts w:ascii="Arial" w:hAnsi="Arial" w:cs="Arial"/>
                <w:color w:val="auto"/>
                <w:sz w:val="20"/>
                <w:szCs w:val="20"/>
              </w:rPr>
            </w:pPr>
            <w:r w:rsidRPr="004551D9">
              <w:rPr>
                <w:rFonts w:ascii="Arial" w:hAnsi="Arial" w:cs="Arial"/>
                <w:color w:val="auto"/>
                <w:sz w:val="20"/>
                <w:szCs w:val="20"/>
              </w:rPr>
              <w:t>Azaldutakoa dela bide, ezinbestekoa da neurri arautzaile espezifikoa egitea, eta ezin daiteke beste aukerarik aztertu</w:t>
            </w:r>
            <w:r>
              <w:rPr>
                <w:rFonts w:ascii="Arial" w:hAnsi="Arial" w:cs="Arial"/>
                <w:color w:val="auto"/>
                <w:sz w:val="20"/>
                <w:szCs w:val="20"/>
              </w:rPr>
              <w:t>.</w:t>
            </w:r>
          </w:p>
          <w:p w14:paraId="4C059D5E" w14:textId="630D1807" w:rsidR="004551D9" w:rsidRPr="00317A03" w:rsidRDefault="004551D9" w:rsidP="00317A03">
            <w:pPr>
              <w:pStyle w:val="Default"/>
              <w:spacing w:before="100" w:beforeAutospacing="1" w:after="100" w:afterAutospacing="1" w:line="23" w:lineRule="atLeast"/>
              <w:rPr>
                <w:rFonts w:ascii="Arial" w:eastAsia="Times New Roman" w:hAnsi="Arial" w:cs="Arial"/>
                <w:color w:val="auto"/>
                <w:sz w:val="20"/>
                <w:szCs w:val="20"/>
              </w:rPr>
            </w:pPr>
            <w:bookmarkStart w:id="0" w:name="_GoBack"/>
            <w:bookmarkEnd w:id="0"/>
          </w:p>
        </w:tc>
      </w:tr>
    </w:tbl>
    <w:p w14:paraId="4C059D6A" w14:textId="77777777" w:rsidR="00865035" w:rsidRPr="00317A03" w:rsidRDefault="00865035" w:rsidP="00554FC2">
      <w:pPr>
        <w:pStyle w:val="Default"/>
        <w:spacing w:before="100" w:beforeAutospacing="1" w:after="100" w:afterAutospacing="1" w:line="23" w:lineRule="atLeast"/>
        <w:jc w:val="both"/>
        <w:rPr>
          <w:rFonts w:ascii="Arial" w:hAnsi="Arial" w:cs="Arial"/>
          <w:color w:val="auto"/>
          <w:sz w:val="20"/>
          <w:szCs w:val="20"/>
        </w:rPr>
      </w:pPr>
    </w:p>
    <w:sectPr w:rsidR="00865035" w:rsidRPr="00317A03" w:rsidSect="007B0B8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403C1" w14:textId="77777777" w:rsidR="00CB3839" w:rsidRDefault="00CB3839" w:rsidP="0080292C">
      <w:pPr>
        <w:spacing w:after="0" w:line="240" w:lineRule="auto"/>
      </w:pPr>
      <w:r>
        <w:separator/>
      </w:r>
    </w:p>
  </w:endnote>
  <w:endnote w:type="continuationSeparator" w:id="0">
    <w:p w14:paraId="627FD0E6" w14:textId="77777777" w:rsidR="00CB3839" w:rsidRDefault="00CB3839" w:rsidP="0080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8375" w14:textId="77777777" w:rsidR="00062269" w:rsidRDefault="00062269">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72424913"/>
      <w:docPartObj>
        <w:docPartGallery w:val="Page Numbers (Bottom of Page)"/>
        <w:docPartUnique/>
      </w:docPartObj>
    </w:sdtPr>
    <w:sdtEndPr/>
    <w:sdtContent>
      <w:p w14:paraId="369D587E" w14:textId="1C0486A9" w:rsidR="00B45FE4" w:rsidRDefault="00826CA1" w:rsidP="00554FC2">
        <w:pPr>
          <w:pStyle w:val="Orri-oina"/>
          <w:jc w:val="right"/>
          <w:rPr>
            <w:rFonts w:ascii="Arial" w:hAnsi="Arial" w:cs="Arial"/>
            <w:sz w:val="16"/>
            <w:szCs w:val="16"/>
          </w:rPr>
        </w:pPr>
        <w:r w:rsidRPr="00554FC2">
          <w:rPr>
            <w:rFonts w:ascii="Arial" w:hAnsi="Arial" w:cs="Arial"/>
            <w:sz w:val="16"/>
            <w:szCs w:val="16"/>
          </w:rPr>
          <w:fldChar w:fldCharType="begin"/>
        </w:r>
        <w:r w:rsidRPr="00554FC2">
          <w:rPr>
            <w:rFonts w:ascii="Arial" w:hAnsi="Arial" w:cs="Arial"/>
            <w:sz w:val="16"/>
            <w:szCs w:val="16"/>
          </w:rPr>
          <w:instrText>PAGE   \* MERGEFORMAT</w:instrText>
        </w:r>
        <w:r w:rsidRPr="00554FC2">
          <w:rPr>
            <w:rFonts w:ascii="Arial" w:hAnsi="Arial" w:cs="Arial"/>
            <w:sz w:val="16"/>
            <w:szCs w:val="16"/>
          </w:rPr>
          <w:fldChar w:fldCharType="separate"/>
        </w:r>
        <w:r w:rsidR="004551D9">
          <w:rPr>
            <w:rFonts w:ascii="Arial" w:hAnsi="Arial" w:cs="Arial"/>
            <w:noProof/>
            <w:sz w:val="16"/>
            <w:szCs w:val="16"/>
          </w:rPr>
          <w:t>2</w:t>
        </w:r>
        <w:r w:rsidRPr="00554FC2">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CF7D" w14:textId="5FAE8449" w:rsidR="00554FC2" w:rsidRPr="00554FC2" w:rsidRDefault="00554FC2" w:rsidP="00554FC2">
    <w:pPr>
      <w:pStyle w:val="Orri-oina"/>
      <w:jc w:val="right"/>
      <w:rPr>
        <w:rFonts w:ascii="Arial" w:hAnsi="Arial" w:cs="Arial"/>
        <w:sz w:val="16"/>
        <w:szCs w:val="16"/>
      </w:rPr>
    </w:pPr>
    <w:r w:rsidRPr="00554FC2">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7A407" w14:textId="77777777" w:rsidR="00CB3839" w:rsidRDefault="00CB3839" w:rsidP="0080292C">
      <w:pPr>
        <w:spacing w:after="0" w:line="240" w:lineRule="auto"/>
      </w:pPr>
      <w:r>
        <w:separator/>
      </w:r>
    </w:p>
  </w:footnote>
  <w:footnote w:type="continuationSeparator" w:id="0">
    <w:p w14:paraId="0B591AC7" w14:textId="77777777" w:rsidR="00CB3839" w:rsidRDefault="00CB3839" w:rsidP="0080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9382" w14:textId="77777777" w:rsidR="00062269" w:rsidRDefault="0006226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DA02" w14:textId="77777777" w:rsidR="007B0B8A" w:rsidRDefault="007B0B8A" w:rsidP="007B0B8A">
    <w:pPr>
      <w:pStyle w:val="Goiburua"/>
      <w:jc w:val="center"/>
    </w:pPr>
    <w:r>
      <w:object w:dxaOrig="11549" w:dyaOrig="1410" w14:anchorId="0D29D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filled="t">
          <v:fill color2="black"/>
          <v:imagedata r:id="rId1" o:title=""/>
        </v:shape>
        <o:OLEObject Type="Embed" ProgID="Imagen" ShapeID="_x0000_i1025" DrawAspect="Content" ObjectID="_1657440394" r:id="rId2"/>
      </w:object>
    </w:r>
  </w:p>
  <w:p w14:paraId="4C059D70" w14:textId="77777777" w:rsidR="00310CFB" w:rsidRDefault="00310CFB" w:rsidP="00310CFB">
    <w:pPr>
      <w:pStyle w:val="Goiburu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6EF8" w14:textId="77777777" w:rsidR="007B0B8A" w:rsidRDefault="007B0B8A" w:rsidP="007B0B8A">
    <w:pPr>
      <w:pStyle w:val="Goiburua"/>
      <w:jc w:val="center"/>
    </w:pPr>
    <w:r w:rsidRPr="00310CFB">
      <w:rPr>
        <w:rFonts w:ascii="Arial" w:hAnsi="Arial"/>
        <w:noProof/>
        <w:sz w:val="16"/>
        <w:lang w:eastAsia="eu-ES"/>
      </w:rPr>
      <w:drawing>
        <wp:inline distT="0" distB="0" distL="0" distR="0" wp14:anchorId="5696FDFA" wp14:editId="799A5082">
          <wp:extent cx="3771195" cy="449580"/>
          <wp:effectExtent l="0" t="0" r="127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71195" cy="449580"/>
                  </a:xfrm>
                  <a:prstGeom prst="rect">
                    <a:avLst/>
                  </a:prstGeom>
                  <a:noFill/>
                  <a:ln>
                    <a:noFill/>
                  </a:ln>
                </pic:spPr>
              </pic:pic>
            </a:graphicData>
          </a:graphic>
        </wp:inline>
      </w:drawing>
    </w:r>
  </w:p>
  <w:p w14:paraId="09169D38" w14:textId="77777777" w:rsidR="007B0B8A" w:rsidRDefault="007B0B8A">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72BD"/>
    <w:multiLevelType w:val="hybridMultilevel"/>
    <w:tmpl w:val="34D05888"/>
    <w:lvl w:ilvl="0" w:tplc="AC3C2204">
      <w:start w:val="1"/>
      <w:numFmt w:val="decimal"/>
      <w:lvlText w:val="%1-"/>
      <w:lvlJc w:val="left"/>
      <w:pPr>
        <w:ind w:left="2771" w:hanging="360"/>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1" w15:restartNumberingAfterBreak="0">
    <w:nsid w:val="1EC76B40"/>
    <w:multiLevelType w:val="hybridMultilevel"/>
    <w:tmpl w:val="883E5A8C"/>
    <w:lvl w:ilvl="0" w:tplc="1AA819E2">
      <w:start w:val="1"/>
      <w:numFmt w:val="bullet"/>
      <w:lvlText w:val=""/>
      <w:lvlJc w:val="left"/>
      <w:pPr>
        <w:tabs>
          <w:tab w:val="num" w:pos="720"/>
        </w:tabs>
        <w:ind w:left="720" w:hanging="360"/>
      </w:pPr>
      <w:rPr>
        <w:rFonts w:ascii="Symbol" w:hAnsi="Symbol" w:hint="default"/>
      </w:rPr>
    </w:lvl>
    <w:lvl w:ilvl="1" w:tplc="7B560260">
      <w:start w:val="453"/>
      <w:numFmt w:val="bullet"/>
      <w:lvlText w:val=""/>
      <w:lvlJc w:val="left"/>
      <w:pPr>
        <w:tabs>
          <w:tab w:val="num" w:pos="1440"/>
        </w:tabs>
        <w:ind w:left="1440" w:hanging="360"/>
      </w:pPr>
      <w:rPr>
        <w:rFonts w:ascii="Symbol" w:hAnsi="Symbol" w:hint="default"/>
      </w:rPr>
    </w:lvl>
    <w:lvl w:ilvl="2" w:tplc="6980CFA2" w:tentative="1">
      <w:start w:val="1"/>
      <w:numFmt w:val="bullet"/>
      <w:lvlText w:val=""/>
      <w:lvlJc w:val="left"/>
      <w:pPr>
        <w:tabs>
          <w:tab w:val="num" w:pos="2160"/>
        </w:tabs>
        <w:ind w:left="2160" w:hanging="360"/>
      </w:pPr>
      <w:rPr>
        <w:rFonts w:ascii="Symbol" w:hAnsi="Symbol" w:hint="default"/>
      </w:rPr>
    </w:lvl>
    <w:lvl w:ilvl="3" w:tplc="05B8A5F0" w:tentative="1">
      <w:start w:val="1"/>
      <w:numFmt w:val="bullet"/>
      <w:lvlText w:val=""/>
      <w:lvlJc w:val="left"/>
      <w:pPr>
        <w:tabs>
          <w:tab w:val="num" w:pos="2880"/>
        </w:tabs>
        <w:ind w:left="2880" w:hanging="360"/>
      </w:pPr>
      <w:rPr>
        <w:rFonts w:ascii="Symbol" w:hAnsi="Symbol" w:hint="default"/>
      </w:rPr>
    </w:lvl>
    <w:lvl w:ilvl="4" w:tplc="957C44A6" w:tentative="1">
      <w:start w:val="1"/>
      <w:numFmt w:val="bullet"/>
      <w:lvlText w:val=""/>
      <w:lvlJc w:val="left"/>
      <w:pPr>
        <w:tabs>
          <w:tab w:val="num" w:pos="3600"/>
        </w:tabs>
        <w:ind w:left="3600" w:hanging="360"/>
      </w:pPr>
      <w:rPr>
        <w:rFonts w:ascii="Symbol" w:hAnsi="Symbol" w:hint="default"/>
      </w:rPr>
    </w:lvl>
    <w:lvl w:ilvl="5" w:tplc="13621176" w:tentative="1">
      <w:start w:val="1"/>
      <w:numFmt w:val="bullet"/>
      <w:lvlText w:val=""/>
      <w:lvlJc w:val="left"/>
      <w:pPr>
        <w:tabs>
          <w:tab w:val="num" w:pos="4320"/>
        </w:tabs>
        <w:ind w:left="4320" w:hanging="360"/>
      </w:pPr>
      <w:rPr>
        <w:rFonts w:ascii="Symbol" w:hAnsi="Symbol" w:hint="default"/>
      </w:rPr>
    </w:lvl>
    <w:lvl w:ilvl="6" w:tplc="1EECA6D6" w:tentative="1">
      <w:start w:val="1"/>
      <w:numFmt w:val="bullet"/>
      <w:lvlText w:val=""/>
      <w:lvlJc w:val="left"/>
      <w:pPr>
        <w:tabs>
          <w:tab w:val="num" w:pos="5040"/>
        </w:tabs>
        <w:ind w:left="5040" w:hanging="360"/>
      </w:pPr>
      <w:rPr>
        <w:rFonts w:ascii="Symbol" w:hAnsi="Symbol" w:hint="default"/>
      </w:rPr>
    </w:lvl>
    <w:lvl w:ilvl="7" w:tplc="F7AC120A" w:tentative="1">
      <w:start w:val="1"/>
      <w:numFmt w:val="bullet"/>
      <w:lvlText w:val=""/>
      <w:lvlJc w:val="left"/>
      <w:pPr>
        <w:tabs>
          <w:tab w:val="num" w:pos="5760"/>
        </w:tabs>
        <w:ind w:left="5760" w:hanging="360"/>
      </w:pPr>
      <w:rPr>
        <w:rFonts w:ascii="Symbol" w:hAnsi="Symbol" w:hint="default"/>
      </w:rPr>
    </w:lvl>
    <w:lvl w:ilvl="8" w:tplc="7C5086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6F2A7B"/>
    <w:multiLevelType w:val="hybridMultilevel"/>
    <w:tmpl w:val="E78A185E"/>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6EA91FA0"/>
    <w:multiLevelType w:val="hybridMultilevel"/>
    <w:tmpl w:val="5D3073B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F4"/>
    <w:rsid w:val="00013ECC"/>
    <w:rsid w:val="000142ED"/>
    <w:rsid w:val="000227B5"/>
    <w:rsid w:val="00037930"/>
    <w:rsid w:val="00050240"/>
    <w:rsid w:val="00062269"/>
    <w:rsid w:val="00064C0E"/>
    <w:rsid w:val="00067728"/>
    <w:rsid w:val="00071937"/>
    <w:rsid w:val="00081E9B"/>
    <w:rsid w:val="000836C1"/>
    <w:rsid w:val="000A24B6"/>
    <w:rsid w:val="000B7A1A"/>
    <w:rsid w:val="000D120C"/>
    <w:rsid w:val="000D68BA"/>
    <w:rsid w:val="000F5F30"/>
    <w:rsid w:val="00103799"/>
    <w:rsid w:val="0012092F"/>
    <w:rsid w:val="001320E5"/>
    <w:rsid w:val="00134028"/>
    <w:rsid w:val="001417DE"/>
    <w:rsid w:val="00170392"/>
    <w:rsid w:val="00173E41"/>
    <w:rsid w:val="00194C10"/>
    <w:rsid w:val="001B226C"/>
    <w:rsid w:val="001B3A1D"/>
    <w:rsid w:val="001B6414"/>
    <w:rsid w:val="001E27F7"/>
    <w:rsid w:val="001F5C15"/>
    <w:rsid w:val="001F7723"/>
    <w:rsid w:val="002050C5"/>
    <w:rsid w:val="00207EDF"/>
    <w:rsid w:val="0021171C"/>
    <w:rsid w:val="00226A44"/>
    <w:rsid w:val="00237C97"/>
    <w:rsid w:val="002505CB"/>
    <w:rsid w:val="0026228C"/>
    <w:rsid w:val="0026764F"/>
    <w:rsid w:val="002A1248"/>
    <w:rsid w:val="002B7CD5"/>
    <w:rsid w:val="002C632D"/>
    <w:rsid w:val="002E5032"/>
    <w:rsid w:val="00310CFB"/>
    <w:rsid w:val="0031153E"/>
    <w:rsid w:val="00317A03"/>
    <w:rsid w:val="00372081"/>
    <w:rsid w:val="00403603"/>
    <w:rsid w:val="00405B9E"/>
    <w:rsid w:val="004242AF"/>
    <w:rsid w:val="00425975"/>
    <w:rsid w:val="004266C7"/>
    <w:rsid w:val="004435C1"/>
    <w:rsid w:val="00451871"/>
    <w:rsid w:val="004551D9"/>
    <w:rsid w:val="004919E4"/>
    <w:rsid w:val="004A4754"/>
    <w:rsid w:val="004B1672"/>
    <w:rsid w:val="004C0840"/>
    <w:rsid w:val="004C36DB"/>
    <w:rsid w:val="004E0B46"/>
    <w:rsid w:val="00513E23"/>
    <w:rsid w:val="00541F4A"/>
    <w:rsid w:val="00545E5B"/>
    <w:rsid w:val="00554FC2"/>
    <w:rsid w:val="00561B95"/>
    <w:rsid w:val="005658FD"/>
    <w:rsid w:val="00565C0D"/>
    <w:rsid w:val="00576B92"/>
    <w:rsid w:val="0058482E"/>
    <w:rsid w:val="0059124D"/>
    <w:rsid w:val="005913F4"/>
    <w:rsid w:val="005E122F"/>
    <w:rsid w:val="005E4F35"/>
    <w:rsid w:val="005F172F"/>
    <w:rsid w:val="00611881"/>
    <w:rsid w:val="006156B7"/>
    <w:rsid w:val="006204C5"/>
    <w:rsid w:val="00622427"/>
    <w:rsid w:val="00634137"/>
    <w:rsid w:val="006654B7"/>
    <w:rsid w:val="006779F4"/>
    <w:rsid w:val="006B5E8E"/>
    <w:rsid w:val="006D47F0"/>
    <w:rsid w:val="006F4D38"/>
    <w:rsid w:val="00725C35"/>
    <w:rsid w:val="00755D6E"/>
    <w:rsid w:val="00757FF2"/>
    <w:rsid w:val="00791485"/>
    <w:rsid w:val="007B0B8A"/>
    <w:rsid w:val="007D4664"/>
    <w:rsid w:val="007F39CC"/>
    <w:rsid w:val="0080292C"/>
    <w:rsid w:val="008164B2"/>
    <w:rsid w:val="00826CA1"/>
    <w:rsid w:val="00831DC8"/>
    <w:rsid w:val="00856395"/>
    <w:rsid w:val="0085655D"/>
    <w:rsid w:val="00865035"/>
    <w:rsid w:val="00873F0D"/>
    <w:rsid w:val="00876954"/>
    <w:rsid w:val="008C160E"/>
    <w:rsid w:val="008C1F61"/>
    <w:rsid w:val="008D6281"/>
    <w:rsid w:val="00905DA4"/>
    <w:rsid w:val="0092251C"/>
    <w:rsid w:val="009362EC"/>
    <w:rsid w:val="00986D9B"/>
    <w:rsid w:val="009A679B"/>
    <w:rsid w:val="009B5735"/>
    <w:rsid w:val="009C124C"/>
    <w:rsid w:val="009D1724"/>
    <w:rsid w:val="00A14689"/>
    <w:rsid w:val="00A230EE"/>
    <w:rsid w:val="00A47F79"/>
    <w:rsid w:val="00A5515D"/>
    <w:rsid w:val="00A5751E"/>
    <w:rsid w:val="00A674CB"/>
    <w:rsid w:val="00A906F1"/>
    <w:rsid w:val="00A91FF9"/>
    <w:rsid w:val="00AC21E4"/>
    <w:rsid w:val="00AF251A"/>
    <w:rsid w:val="00B430BC"/>
    <w:rsid w:val="00B45FE4"/>
    <w:rsid w:val="00B55DFA"/>
    <w:rsid w:val="00B959A0"/>
    <w:rsid w:val="00BA7FC9"/>
    <w:rsid w:val="00BE5FD7"/>
    <w:rsid w:val="00BF4EA9"/>
    <w:rsid w:val="00C01BE6"/>
    <w:rsid w:val="00C07417"/>
    <w:rsid w:val="00C122FE"/>
    <w:rsid w:val="00C17C1E"/>
    <w:rsid w:val="00C22598"/>
    <w:rsid w:val="00C57B4B"/>
    <w:rsid w:val="00CB298C"/>
    <w:rsid w:val="00CB3839"/>
    <w:rsid w:val="00CB5805"/>
    <w:rsid w:val="00CD5345"/>
    <w:rsid w:val="00CF46DE"/>
    <w:rsid w:val="00D0392F"/>
    <w:rsid w:val="00D155F8"/>
    <w:rsid w:val="00D15C09"/>
    <w:rsid w:val="00D16E36"/>
    <w:rsid w:val="00D17586"/>
    <w:rsid w:val="00D23114"/>
    <w:rsid w:val="00D34B09"/>
    <w:rsid w:val="00D36016"/>
    <w:rsid w:val="00D47D46"/>
    <w:rsid w:val="00D64134"/>
    <w:rsid w:val="00DA3495"/>
    <w:rsid w:val="00DA72A6"/>
    <w:rsid w:val="00DB4519"/>
    <w:rsid w:val="00E06623"/>
    <w:rsid w:val="00E22692"/>
    <w:rsid w:val="00E22B43"/>
    <w:rsid w:val="00E43B09"/>
    <w:rsid w:val="00E86013"/>
    <w:rsid w:val="00ED4BAC"/>
    <w:rsid w:val="00F109C3"/>
    <w:rsid w:val="00F24A3C"/>
    <w:rsid w:val="00F51DA6"/>
    <w:rsid w:val="00F56DD4"/>
    <w:rsid w:val="00F7522A"/>
    <w:rsid w:val="00F87B7C"/>
    <w:rsid w:val="00F9396C"/>
    <w:rsid w:val="00F94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C05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Default">
    <w:name w:val="Default"/>
    <w:rsid w:val="006779F4"/>
    <w:pPr>
      <w:autoSpaceDE w:val="0"/>
      <w:autoSpaceDN w:val="0"/>
      <w:adjustRightInd w:val="0"/>
      <w:spacing w:after="0" w:line="240" w:lineRule="auto"/>
    </w:pPr>
    <w:rPr>
      <w:rFonts w:ascii="Calibri" w:hAnsi="Calibri" w:cs="Calibri"/>
      <w:color w:val="000000"/>
      <w:sz w:val="24"/>
      <w:szCs w:val="24"/>
    </w:rPr>
  </w:style>
  <w:style w:type="character" w:styleId="Hiperesteka">
    <w:name w:val="Hyperlink"/>
    <w:basedOn w:val="Paragrafoarenletra-tipolehenetsia"/>
    <w:uiPriority w:val="99"/>
    <w:unhideWhenUsed/>
    <w:rsid w:val="00237C97"/>
    <w:rPr>
      <w:color w:val="0000FF" w:themeColor="hyperlink"/>
      <w:u w:val="single"/>
    </w:rPr>
  </w:style>
  <w:style w:type="paragraph" w:styleId="Zerrenda-paragrafoa">
    <w:name w:val="List Paragraph"/>
    <w:basedOn w:val="Normala"/>
    <w:uiPriority w:val="34"/>
    <w:qFormat/>
    <w:rsid w:val="00E43B09"/>
    <w:pPr>
      <w:spacing w:after="0" w:line="240" w:lineRule="auto"/>
      <w:ind w:left="720"/>
      <w:contextualSpacing/>
    </w:pPr>
    <w:rPr>
      <w:rFonts w:ascii="Times New Roman" w:eastAsia="Times New Roman" w:hAnsi="Times New Roman" w:cs="Times New Roman"/>
      <w:sz w:val="24"/>
      <w:szCs w:val="24"/>
      <w:lang w:eastAsia="es-ES"/>
    </w:rPr>
  </w:style>
  <w:style w:type="paragraph" w:styleId="Gorputz-testua">
    <w:name w:val="Body Text"/>
    <w:basedOn w:val="Normala"/>
    <w:link w:val="Gorputz-testuaKar"/>
    <w:uiPriority w:val="1"/>
    <w:qFormat/>
    <w:rsid w:val="000B7A1A"/>
    <w:pPr>
      <w:widowControl w:val="0"/>
      <w:spacing w:after="0" w:line="240" w:lineRule="auto"/>
      <w:ind w:left="141"/>
    </w:pPr>
    <w:rPr>
      <w:rFonts w:ascii="Arial" w:eastAsia="Arial" w:hAnsi="Arial"/>
    </w:rPr>
  </w:style>
  <w:style w:type="character" w:customStyle="1" w:styleId="Gorputz-testuaKar">
    <w:name w:val="Gorputz-testua Kar"/>
    <w:basedOn w:val="Paragrafoarenletra-tipolehenetsia"/>
    <w:link w:val="Gorputz-testua"/>
    <w:uiPriority w:val="1"/>
    <w:rsid w:val="000B7A1A"/>
    <w:rPr>
      <w:rFonts w:ascii="Arial" w:eastAsia="Arial" w:hAnsi="Arial"/>
      <w:lang w:val="eu-ES"/>
    </w:rPr>
  </w:style>
  <w:style w:type="paragraph" w:styleId="Goiburua">
    <w:name w:val="header"/>
    <w:basedOn w:val="Normala"/>
    <w:link w:val="GoiburuaKar"/>
    <w:uiPriority w:val="99"/>
    <w:unhideWhenUsed/>
    <w:rsid w:val="0080292C"/>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80292C"/>
  </w:style>
  <w:style w:type="paragraph" w:styleId="Orri-oina">
    <w:name w:val="footer"/>
    <w:basedOn w:val="Normala"/>
    <w:link w:val="Orri-oinaKar"/>
    <w:uiPriority w:val="99"/>
    <w:unhideWhenUsed/>
    <w:rsid w:val="0080292C"/>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80292C"/>
  </w:style>
  <w:style w:type="paragraph" w:styleId="Bunbuiloarentestua">
    <w:name w:val="Balloon Text"/>
    <w:basedOn w:val="Normala"/>
    <w:link w:val="BunbuiloarentestuaKar"/>
    <w:uiPriority w:val="99"/>
    <w:semiHidden/>
    <w:unhideWhenUsed/>
    <w:rsid w:val="001B3A1D"/>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1B3A1D"/>
    <w:rPr>
      <w:rFonts w:ascii="Tahoma" w:hAnsi="Tahoma" w:cs="Tahoma"/>
      <w:sz w:val="16"/>
      <w:szCs w:val="16"/>
    </w:rPr>
  </w:style>
  <w:style w:type="table" w:styleId="Saretaduntaula">
    <w:name w:val="Table Grid"/>
    <w:basedOn w:val="Taulanormala"/>
    <w:uiPriority w:val="59"/>
    <w:rsid w:val="0066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16393">
      <w:bodyDiv w:val="1"/>
      <w:marLeft w:val="0"/>
      <w:marRight w:val="0"/>
      <w:marTop w:val="0"/>
      <w:marBottom w:val="0"/>
      <w:divBdr>
        <w:top w:val="none" w:sz="0" w:space="0" w:color="auto"/>
        <w:left w:val="none" w:sz="0" w:space="0" w:color="auto"/>
        <w:bottom w:val="none" w:sz="0" w:space="0" w:color="auto"/>
        <w:right w:val="none" w:sz="0" w:space="0" w:color="auto"/>
      </w:divBdr>
      <w:divsChild>
        <w:div w:id="814026533">
          <w:marLeft w:val="432"/>
          <w:marRight w:val="0"/>
          <w:marTop w:val="50"/>
          <w:marBottom w:val="0"/>
          <w:divBdr>
            <w:top w:val="none" w:sz="0" w:space="0" w:color="auto"/>
            <w:left w:val="none" w:sz="0" w:space="0" w:color="auto"/>
            <w:bottom w:val="none" w:sz="0" w:space="0" w:color="auto"/>
            <w:right w:val="none" w:sz="0" w:space="0" w:color="auto"/>
          </w:divBdr>
        </w:div>
        <w:div w:id="1455637431">
          <w:marLeft w:val="907"/>
          <w:marRight w:val="0"/>
          <w:marTop w:val="50"/>
          <w:marBottom w:val="0"/>
          <w:divBdr>
            <w:top w:val="none" w:sz="0" w:space="0" w:color="auto"/>
            <w:left w:val="none" w:sz="0" w:space="0" w:color="auto"/>
            <w:bottom w:val="none" w:sz="0" w:space="0" w:color="auto"/>
            <w:right w:val="none" w:sz="0" w:space="0" w:color="auto"/>
          </w:divBdr>
        </w:div>
        <w:div w:id="1603102754">
          <w:marLeft w:val="907"/>
          <w:marRight w:val="0"/>
          <w:marTop w:val="50"/>
          <w:marBottom w:val="0"/>
          <w:divBdr>
            <w:top w:val="none" w:sz="0" w:space="0" w:color="auto"/>
            <w:left w:val="none" w:sz="0" w:space="0" w:color="auto"/>
            <w:bottom w:val="none" w:sz="0" w:space="0" w:color="auto"/>
            <w:right w:val="none" w:sz="0" w:space="0" w:color="auto"/>
          </w:divBdr>
        </w:div>
        <w:div w:id="1531190369">
          <w:marLeft w:val="907"/>
          <w:marRight w:val="0"/>
          <w:marTop w:val="50"/>
          <w:marBottom w:val="0"/>
          <w:divBdr>
            <w:top w:val="none" w:sz="0" w:space="0" w:color="auto"/>
            <w:left w:val="none" w:sz="0" w:space="0" w:color="auto"/>
            <w:bottom w:val="none" w:sz="0" w:space="0" w:color="auto"/>
            <w:right w:val="none" w:sz="0" w:space="0" w:color="auto"/>
          </w:divBdr>
        </w:div>
        <w:div w:id="1896773168">
          <w:marLeft w:val="907"/>
          <w:marRight w:val="0"/>
          <w:marTop w:val="50"/>
          <w:marBottom w:val="0"/>
          <w:divBdr>
            <w:top w:val="none" w:sz="0" w:space="0" w:color="auto"/>
            <w:left w:val="none" w:sz="0" w:space="0" w:color="auto"/>
            <w:bottom w:val="none" w:sz="0" w:space="0" w:color="auto"/>
            <w:right w:val="none" w:sz="0" w:space="0" w:color="auto"/>
          </w:divBdr>
        </w:div>
        <w:div w:id="978152193">
          <w:marLeft w:val="907"/>
          <w:marRight w:val="0"/>
          <w:marTop w:val="50"/>
          <w:marBottom w:val="0"/>
          <w:divBdr>
            <w:top w:val="none" w:sz="0" w:space="0" w:color="auto"/>
            <w:left w:val="none" w:sz="0" w:space="0" w:color="auto"/>
            <w:bottom w:val="none" w:sz="0" w:space="0" w:color="auto"/>
            <w:right w:val="none" w:sz="0" w:space="0" w:color="auto"/>
          </w:divBdr>
        </w:div>
        <w:div w:id="1692797652">
          <w:marLeft w:val="907"/>
          <w:marRight w:val="0"/>
          <w:marTop w:val="50"/>
          <w:marBottom w:val="0"/>
          <w:divBdr>
            <w:top w:val="none" w:sz="0" w:space="0" w:color="auto"/>
            <w:left w:val="none" w:sz="0" w:space="0" w:color="auto"/>
            <w:bottom w:val="none" w:sz="0" w:space="0" w:color="auto"/>
            <w:right w:val="none" w:sz="0" w:space="0" w:color="auto"/>
          </w:divBdr>
        </w:div>
        <w:div w:id="1416588039">
          <w:marLeft w:val="907"/>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6439</Characters>
  <Application>Microsoft Office Word</Application>
  <DocSecurity>0</DocSecurity>
  <Lines>53</Lines>
  <Paragraphs>15</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2020-07-27T10:03:00Z</dcterms:created>
  <dcterms:modified xsi:type="dcterms:W3CDTF">2020-07-28T09:20:00Z</dcterms:modified>
</cp:coreProperties>
</file>